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7FD0" w14:textId="001DF0E5" w:rsidR="00E56297" w:rsidRDefault="00E56297" w:rsidP="00E56297">
      <w:pPr>
        <w:pStyle w:val="Default"/>
        <w:jc w:val="center"/>
        <w:rPr>
          <w:sz w:val="32"/>
          <w:szCs w:val="32"/>
        </w:rPr>
      </w:pPr>
      <w:r>
        <w:rPr>
          <w:b/>
          <w:bCs/>
          <w:sz w:val="32"/>
          <w:szCs w:val="32"/>
        </w:rPr>
        <w:t xml:space="preserve">CPRB </w:t>
      </w:r>
      <w:r w:rsidR="00B0606C">
        <w:rPr>
          <w:b/>
          <w:bCs/>
          <w:sz w:val="32"/>
          <w:szCs w:val="32"/>
        </w:rPr>
        <w:t xml:space="preserve">ACCREDITATION SURVEY </w:t>
      </w:r>
      <w:r>
        <w:rPr>
          <w:b/>
          <w:bCs/>
          <w:sz w:val="32"/>
          <w:szCs w:val="32"/>
        </w:rPr>
        <w:t>REQUIRED DOCUMENTS</w:t>
      </w:r>
    </w:p>
    <w:p w14:paraId="7B511045" w14:textId="132BF52E" w:rsidR="006D3636" w:rsidRDefault="00E56297" w:rsidP="00E56297">
      <w:pPr>
        <w:jc w:val="center"/>
        <w:rPr>
          <w:b/>
          <w:bCs/>
          <w:sz w:val="28"/>
          <w:szCs w:val="28"/>
        </w:rPr>
      </w:pPr>
      <w:r>
        <w:rPr>
          <w:b/>
          <w:bCs/>
          <w:sz w:val="28"/>
          <w:szCs w:val="28"/>
        </w:rPr>
        <w:t>for In-Person (Year 1) Surveys</w:t>
      </w:r>
    </w:p>
    <w:p w14:paraId="0A988152" w14:textId="6BA2594F" w:rsidR="003E72FC" w:rsidRPr="009332B9" w:rsidRDefault="00E56297" w:rsidP="009332B9">
      <w:pPr>
        <w:spacing w:line="240" w:lineRule="auto"/>
        <w:jc w:val="both"/>
      </w:pPr>
      <w:r>
        <w:t xml:space="preserve">When a survey date is set, the CPRB Coordinator will provide the </w:t>
      </w:r>
      <w:r w:rsidR="005445CB">
        <w:t>residency director</w:t>
      </w:r>
      <w:r>
        <w:t xml:space="preserve"> / </w:t>
      </w:r>
      <w:r w:rsidR="005445CB">
        <w:t>c</w:t>
      </w:r>
      <w:r>
        <w:t xml:space="preserve">oordinator / </w:t>
      </w:r>
      <w:r w:rsidR="005445CB">
        <w:t>a</w:t>
      </w:r>
      <w:r>
        <w:t xml:space="preserve">dministrative </w:t>
      </w:r>
      <w:r w:rsidR="005445CB">
        <w:t>a</w:t>
      </w:r>
      <w:r>
        <w:t xml:space="preserve">ssistant with a copy of this template. The </w:t>
      </w:r>
      <w:r w:rsidR="005445CB">
        <w:t>residency director</w:t>
      </w:r>
      <w:r>
        <w:t xml:space="preserve">, </w:t>
      </w:r>
      <w:r w:rsidR="005445CB">
        <w:t>c</w:t>
      </w:r>
      <w:r>
        <w:t xml:space="preserve">oordinator, or </w:t>
      </w:r>
      <w:r w:rsidR="005445CB">
        <w:t>a</w:t>
      </w:r>
      <w:r>
        <w:t xml:space="preserve">dministrative </w:t>
      </w:r>
      <w:r w:rsidR="005445CB">
        <w:t>a</w:t>
      </w:r>
      <w:r>
        <w:t>ssistant are to send the CPRB surveyors the survey documents in an electronic format</w:t>
      </w:r>
      <w:r w:rsidR="005E5F10">
        <w:t xml:space="preserve"> through a file hosting site (e.g., SharePoint, DropBox, OneDrive, etc.)</w:t>
      </w:r>
      <w:r>
        <w:t xml:space="preserve"> using this form. Documents should be hyperlinked as per the list below. </w:t>
      </w:r>
    </w:p>
    <w:p w14:paraId="1200DF79" w14:textId="2441C7BE" w:rsidR="00E56297" w:rsidRPr="009332B9" w:rsidRDefault="00E56297" w:rsidP="009332B9">
      <w:pPr>
        <w:spacing w:line="240" w:lineRule="auto"/>
        <w:jc w:val="both"/>
      </w:pPr>
      <w:r>
        <w:t xml:space="preserve">Please ensure that links provide document access to anyone who clicks them </w:t>
      </w:r>
      <w:r w:rsidRPr="63F90F45">
        <w:rPr>
          <w:b/>
          <w:bCs/>
          <w:u w:val="single"/>
        </w:rPr>
        <w:t>or</w:t>
      </w:r>
      <w:r>
        <w:t xml:space="preserve"> that you send a password or other credentials required to open the links to the CPRB surveyors and the CPRB Coordinator.</w:t>
      </w:r>
    </w:p>
    <w:p w14:paraId="36598F29" w14:textId="1E5AC29E" w:rsidR="74B49A3D" w:rsidRDefault="74B49A3D" w:rsidP="63F90F45">
      <w:pPr>
        <w:spacing w:line="240" w:lineRule="auto"/>
        <w:jc w:val="both"/>
      </w:pPr>
      <w:r>
        <w:t>Please create a</w:t>
      </w:r>
      <w:r w:rsidR="006F76BB">
        <w:t xml:space="preserve"> parent folder as well as</w:t>
      </w:r>
      <w:r>
        <w:t xml:space="preserve"> separate sub-folder</w:t>
      </w:r>
      <w:r w:rsidR="006F76BB">
        <w:t>s</w:t>
      </w:r>
      <w:r>
        <w:t xml:space="preserve"> for each numeric grouping below</w:t>
      </w:r>
      <w:r w:rsidR="00D37A01">
        <w:t>,</w:t>
      </w:r>
      <w:r>
        <w:t xml:space="preserve"> number</w:t>
      </w:r>
      <w:r w:rsidR="00D37A01">
        <w:t xml:space="preserve">ing </w:t>
      </w:r>
      <w:r>
        <w:t>documents as per the list below.</w:t>
      </w:r>
    </w:p>
    <w:p w14:paraId="7306A607" w14:textId="1AE8FA59" w:rsidR="00E56297" w:rsidRPr="00CF6E06" w:rsidRDefault="009332B9" w:rsidP="005445CB">
      <w:pPr>
        <w:jc w:val="center"/>
        <w:rPr>
          <w:b/>
          <w:bCs/>
          <w:color w:val="C00000"/>
        </w:rPr>
      </w:pPr>
      <w:r w:rsidRPr="00CF6E06">
        <w:rPr>
          <w:b/>
          <w:bCs/>
          <w:color w:val="C00000"/>
        </w:rPr>
        <w:t xml:space="preserve">Please note that all documents are required </w:t>
      </w:r>
      <w:r w:rsidRPr="00195A15">
        <w:rPr>
          <w:b/>
          <w:bCs/>
          <w:color w:val="C00000"/>
          <w:u w:val="single"/>
        </w:rPr>
        <w:t>no later than 30-days prior</w:t>
      </w:r>
      <w:r w:rsidRPr="00CF6E06">
        <w:rPr>
          <w:b/>
          <w:bCs/>
          <w:color w:val="C00000"/>
        </w:rPr>
        <w:t xml:space="preserve"> to the </w:t>
      </w:r>
      <w:r w:rsidR="005445CB">
        <w:rPr>
          <w:b/>
          <w:bCs/>
          <w:color w:val="C00000"/>
        </w:rPr>
        <w:t xml:space="preserve">first day of the </w:t>
      </w:r>
      <w:r w:rsidRPr="00CF6E06">
        <w:rPr>
          <w:b/>
          <w:bCs/>
          <w:color w:val="C00000"/>
        </w:rPr>
        <w:t>accreditation survey visit</w:t>
      </w:r>
      <w:r w:rsidR="00B61C58">
        <w:rPr>
          <w:b/>
          <w:bCs/>
          <w:color w:val="C00000"/>
        </w:rPr>
        <w:t xml:space="preserve"> and must remain available to CPRB surveyors until 30 days after your program has received its accreditation award</w:t>
      </w:r>
      <w:r w:rsidR="002B5829">
        <w:rPr>
          <w:b/>
          <w:bCs/>
          <w:color w:val="C00000"/>
        </w:rPr>
        <w:t>. If you have any questions, please contact the CPRB Coordinator.</w:t>
      </w:r>
    </w:p>
    <w:tbl>
      <w:tblPr>
        <w:tblStyle w:val="TableGrid"/>
        <w:tblW w:w="0" w:type="auto"/>
        <w:tblLook w:val="04A0" w:firstRow="1" w:lastRow="0" w:firstColumn="1" w:lastColumn="0" w:noHBand="0" w:noVBand="1"/>
      </w:tblPr>
      <w:tblGrid>
        <w:gridCol w:w="6215"/>
        <w:gridCol w:w="3685"/>
      </w:tblGrid>
      <w:tr w:rsidR="007A3864" w14:paraId="67DAB2E8" w14:textId="77777777" w:rsidTr="25781353">
        <w:tc>
          <w:tcPr>
            <w:tcW w:w="6215" w:type="dxa"/>
            <w:tcBorders>
              <w:top w:val="single" w:sz="18" w:space="0" w:color="auto"/>
              <w:left w:val="single" w:sz="18" w:space="0" w:color="auto"/>
              <w:bottom w:val="single" w:sz="18" w:space="0" w:color="auto"/>
            </w:tcBorders>
          </w:tcPr>
          <w:p w14:paraId="31B722B1" w14:textId="244E8CDC" w:rsidR="007A3864" w:rsidRPr="007A3864" w:rsidRDefault="007A3864" w:rsidP="00B875A7">
            <w:pPr>
              <w:rPr>
                <w:b/>
                <w:bCs/>
                <w:sz w:val="21"/>
                <w:szCs w:val="21"/>
              </w:rPr>
            </w:pPr>
            <w:r w:rsidRPr="007A3864">
              <w:rPr>
                <w:b/>
                <w:bCs/>
                <w:sz w:val="21"/>
                <w:szCs w:val="21"/>
              </w:rPr>
              <w:t>Document(s)</w:t>
            </w:r>
          </w:p>
        </w:tc>
        <w:tc>
          <w:tcPr>
            <w:tcW w:w="3685" w:type="dxa"/>
            <w:tcBorders>
              <w:top w:val="single" w:sz="18" w:space="0" w:color="auto"/>
              <w:bottom w:val="single" w:sz="18" w:space="0" w:color="auto"/>
              <w:right w:val="single" w:sz="18" w:space="0" w:color="auto"/>
            </w:tcBorders>
          </w:tcPr>
          <w:p w14:paraId="59BAA1B6" w14:textId="13384795" w:rsidR="007A3864" w:rsidRPr="00B875A7" w:rsidRDefault="5D2699F2" w:rsidP="00B875A7">
            <w:pPr>
              <w:rPr>
                <w:b/>
                <w:bCs/>
              </w:rPr>
            </w:pPr>
            <w:r w:rsidRPr="77CA22BA">
              <w:rPr>
                <w:b/>
                <w:bCs/>
              </w:rPr>
              <w:t>Link(s)</w:t>
            </w:r>
          </w:p>
        </w:tc>
      </w:tr>
      <w:tr w:rsidR="002B5829" w14:paraId="74F86297" w14:textId="77777777" w:rsidTr="00195A15">
        <w:trPr>
          <w:trHeight w:val="388"/>
        </w:trPr>
        <w:tc>
          <w:tcPr>
            <w:tcW w:w="6215" w:type="dxa"/>
            <w:tcBorders>
              <w:top w:val="single" w:sz="18" w:space="0" w:color="auto"/>
              <w:left w:val="single" w:sz="18" w:space="0" w:color="auto"/>
            </w:tcBorders>
          </w:tcPr>
          <w:p w14:paraId="0818125D" w14:textId="09B332FF" w:rsidR="006F76BB" w:rsidRPr="00195A15" w:rsidRDefault="00E10271" w:rsidP="00195A15">
            <w:pPr>
              <w:rPr>
                <w:sz w:val="21"/>
                <w:szCs w:val="21"/>
              </w:rPr>
            </w:pPr>
            <w:r>
              <w:rPr>
                <w:sz w:val="21"/>
                <w:szCs w:val="21"/>
              </w:rPr>
              <w:t>Link to parent folder (folder in which all other documents are stored)</w:t>
            </w:r>
          </w:p>
        </w:tc>
        <w:tc>
          <w:tcPr>
            <w:tcW w:w="3685" w:type="dxa"/>
            <w:tcBorders>
              <w:top w:val="single" w:sz="18" w:space="0" w:color="auto"/>
              <w:right w:val="single" w:sz="18" w:space="0" w:color="auto"/>
            </w:tcBorders>
          </w:tcPr>
          <w:p w14:paraId="1E852565" w14:textId="77777777" w:rsidR="002B5829" w:rsidRDefault="002B5829" w:rsidP="63F90F45"/>
        </w:tc>
      </w:tr>
      <w:tr w:rsidR="63F90F45" w14:paraId="77755EAC" w14:textId="77777777" w:rsidTr="25781353">
        <w:trPr>
          <w:trHeight w:val="700"/>
        </w:trPr>
        <w:tc>
          <w:tcPr>
            <w:tcW w:w="6215" w:type="dxa"/>
            <w:tcBorders>
              <w:top w:val="single" w:sz="18" w:space="0" w:color="auto"/>
              <w:left w:val="single" w:sz="18" w:space="0" w:color="auto"/>
            </w:tcBorders>
          </w:tcPr>
          <w:p w14:paraId="32B41946" w14:textId="63F44885" w:rsidR="2FA91EA8" w:rsidRDefault="2FA91EA8" w:rsidP="005445CB">
            <w:pPr>
              <w:pStyle w:val="ListParagraph"/>
              <w:numPr>
                <w:ilvl w:val="0"/>
                <w:numId w:val="1"/>
              </w:numPr>
              <w:rPr>
                <w:sz w:val="21"/>
                <w:szCs w:val="21"/>
              </w:rPr>
            </w:pPr>
            <w:r w:rsidRPr="63F90F45">
              <w:rPr>
                <w:sz w:val="21"/>
                <w:szCs w:val="21"/>
              </w:rPr>
              <w:t xml:space="preserve">Accreditation Canada </w:t>
            </w:r>
            <w:r w:rsidR="081F01D5" w:rsidRPr="63F90F45">
              <w:rPr>
                <w:sz w:val="21"/>
                <w:szCs w:val="21"/>
              </w:rPr>
              <w:t xml:space="preserve">(or CCAPP) </w:t>
            </w:r>
            <w:r w:rsidRPr="63F90F45">
              <w:rPr>
                <w:sz w:val="21"/>
                <w:szCs w:val="21"/>
              </w:rPr>
              <w:t xml:space="preserve">certificate </w:t>
            </w:r>
            <w:r w:rsidR="269A8BC1" w:rsidRPr="63F90F45">
              <w:rPr>
                <w:sz w:val="21"/>
                <w:szCs w:val="21"/>
              </w:rPr>
              <w:t xml:space="preserve">/ documentation </w:t>
            </w:r>
            <w:r w:rsidR="1D41EB11" w:rsidRPr="07FB2AD9">
              <w:rPr>
                <w:sz w:val="21"/>
                <w:szCs w:val="21"/>
              </w:rPr>
              <w:t>specifying</w:t>
            </w:r>
            <w:r w:rsidR="269A8BC1" w:rsidRPr="63F90F45">
              <w:rPr>
                <w:sz w:val="21"/>
                <w:szCs w:val="21"/>
              </w:rPr>
              <w:t xml:space="preserve"> </w:t>
            </w:r>
            <w:r w:rsidRPr="63F90F45">
              <w:rPr>
                <w:sz w:val="21"/>
                <w:szCs w:val="21"/>
              </w:rPr>
              <w:t>current awar</w:t>
            </w:r>
            <w:r w:rsidR="22F15B58" w:rsidRPr="63F90F45">
              <w:rPr>
                <w:sz w:val="21"/>
                <w:szCs w:val="21"/>
              </w:rPr>
              <w:t xml:space="preserve">d and </w:t>
            </w:r>
            <w:r w:rsidR="7DA0F3C9" w:rsidRPr="63F90F45">
              <w:rPr>
                <w:sz w:val="21"/>
                <w:szCs w:val="21"/>
              </w:rPr>
              <w:t>years of accreditation</w:t>
            </w:r>
          </w:p>
        </w:tc>
        <w:tc>
          <w:tcPr>
            <w:tcW w:w="3685" w:type="dxa"/>
            <w:tcBorders>
              <w:top w:val="single" w:sz="18" w:space="0" w:color="auto"/>
              <w:right w:val="single" w:sz="18" w:space="0" w:color="auto"/>
            </w:tcBorders>
          </w:tcPr>
          <w:p w14:paraId="1DA0E29A" w14:textId="53DEA748" w:rsidR="63F90F45" w:rsidRDefault="63F90F45" w:rsidP="63F90F45"/>
        </w:tc>
      </w:tr>
      <w:tr w:rsidR="00B875A7" w14:paraId="062B84D6" w14:textId="77777777" w:rsidTr="25781353">
        <w:trPr>
          <w:trHeight w:val="352"/>
        </w:trPr>
        <w:tc>
          <w:tcPr>
            <w:tcW w:w="6215" w:type="dxa"/>
            <w:tcBorders>
              <w:top w:val="single" w:sz="18" w:space="0" w:color="auto"/>
              <w:left w:val="single" w:sz="18" w:space="0" w:color="auto"/>
            </w:tcBorders>
          </w:tcPr>
          <w:p w14:paraId="60BCDC33" w14:textId="4A03552D" w:rsidR="00B875A7" w:rsidRPr="005445CB" w:rsidRDefault="1C839496" w:rsidP="00B875A7">
            <w:pPr>
              <w:rPr>
                <w:i/>
                <w:iCs/>
                <w:sz w:val="21"/>
                <w:szCs w:val="21"/>
              </w:rPr>
            </w:pPr>
            <w:r w:rsidRPr="005445CB">
              <w:rPr>
                <w:i/>
                <w:iCs/>
                <w:sz w:val="21"/>
                <w:szCs w:val="21"/>
              </w:rPr>
              <w:t>If this is a joint program</w:t>
            </w:r>
            <w:r w:rsidR="1D9DB5ED" w:rsidRPr="005445CB">
              <w:rPr>
                <w:i/>
                <w:iCs/>
                <w:sz w:val="21"/>
                <w:szCs w:val="21"/>
              </w:rPr>
              <w:t>:</w:t>
            </w:r>
            <w:r w:rsidRPr="005445CB">
              <w:rPr>
                <w:i/>
                <w:iCs/>
                <w:sz w:val="21"/>
                <w:szCs w:val="21"/>
              </w:rPr>
              <w:t xml:space="preserve"> </w:t>
            </w:r>
          </w:p>
        </w:tc>
        <w:tc>
          <w:tcPr>
            <w:tcW w:w="3685" w:type="dxa"/>
            <w:tcBorders>
              <w:top w:val="single" w:sz="18" w:space="0" w:color="auto"/>
              <w:right w:val="single" w:sz="18" w:space="0" w:color="auto"/>
            </w:tcBorders>
          </w:tcPr>
          <w:p w14:paraId="48587FCC" w14:textId="77777777" w:rsidR="00B875A7" w:rsidRDefault="00B875A7" w:rsidP="00B875A7"/>
        </w:tc>
      </w:tr>
      <w:tr w:rsidR="63F90F45" w14:paraId="117CC8DE" w14:textId="77777777" w:rsidTr="25781353">
        <w:tc>
          <w:tcPr>
            <w:tcW w:w="6215" w:type="dxa"/>
            <w:tcBorders>
              <w:left w:val="single" w:sz="18" w:space="0" w:color="auto"/>
            </w:tcBorders>
          </w:tcPr>
          <w:p w14:paraId="224790A6" w14:textId="3FD4F964" w:rsidR="36CD51FE" w:rsidRDefault="005445CB" w:rsidP="005445CB">
            <w:pPr>
              <w:ind w:left="720"/>
              <w:rPr>
                <w:sz w:val="21"/>
                <w:szCs w:val="21"/>
              </w:rPr>
            </w:pPr>
            <w:r w:rsidRPr="63F90F45">
              <w:rPr>
                <w:sz w:val="21"/>
                <w:szCs w:val="21"/>
              </w:rPr>
              <w:t>1.1 Contractual</w:t>
            </w:r>
            <w:r w:rsidR="36CD51FE" w:rsidRPr="63F90F45">
              <w:rPr>
                <w:sz w:val="21"/>
                <w:szCs w:val="21"/>
              </w:rPr>
              <w:t xml:space="preserve"> agreement with primary partner designated organization</w:t>
            </w:r>
          </w:p>
        </w:tc>
        <w:tc>
          <w:tcPr>
            <w:tcW w:w="3685" w:type="dxa"/>
            <w:tcBorders>
              <w:right w:val="single" w:sz="18" w:space="0" w:color="auto"/>
            </w:tcBorders>
          </w:tcPr>
          <w:p w14:paraId="59EBC441" w14:textId="13024A15" w:rsidR="63F90F45" w:rsidRDefault="63F90F45" w:rsidP="63F90F45"/>
        </w:tc>
      </w:tr>
      <w:tr w:rsidR="00EA508E" w14:paraId="51763545" w14:textId="77777777" w:rsidTr="25781353">
        <w:tc>
          <w:tcPr>
            <w:tcW w:w="6215" w:type="dxa"/>
            <w:tcBorders>
              <w:left w:val="single" w:sz="18" w:space="0" w:color="auto"/>
            </w:tcBorders>
          </w:tcPr>
          <w:p w14:paraId="15BC596E" w14:textId="31753B33" w:rsidR="00EA508E" w:rsidRPr="007A3864" w:rsidRDefault="00EA508E" w:rsidP="00EA508E">
            <w:pPr>
              <w:ind w:left="720"/>
              <w:rPr>
                <w:sz w:val="21"/>
                <w:szCs w:val="21"/>
              </w:rPr>
            </w:pPr>
            <w:r w:rsidRPr="63F90F45">
              <w:rPr>
                <w:sz w:val="21"/>
                <w:szCs w:val="21"/>
              </w:rPr>
              <w:t>1.</w:t>
            </w:r>
            <w:r w:rsidR="55983738" w:rsidRPr="63F90F45">
              <w:rPr>
                <w:sz w:val="21"/>
                <w:szCs w:val="21"/>
              </w:rPr>
              <w:t>2</w:t>
            </w:r>
            <w:r w:rsidRPr="63F90F45">
              <w:rPr>
                <w:sz w:val="21"/>
                <w:szCs w:val="21"/>
              </w:rPr>
              <w:t xml:space="preserve"> Reports associated with partner accreditation surveys - Accreditation Canada </w:t>
            </w:r>
            <w:r w:rsidR="1ACE92DF" w:rsidRPr="63F90F45">
              <w:rPr>
                <w:sz w:val="21"/>
                <w:szCs w:val="21"/>
              </w:rPr>
              <w:t xml:space="preserve">certificate / documentation specifying current award and years of </w:t>
            </w:r>
            <w:r w:rsidR="005445CB" w:rsidRPr="63F90F45">
              <w:rPr>
                <w:sz w:val="21"/>
                <w:szCs w:val="21"/>
              </w:rPr>
              <w:t>accreditation (</w:t>
            </w:r>
            <w:r w:rsidRPr="63F90F45">
              <w:rPr>
                <w:sz w:val="21"/>
                <w:szCs w:val="21"/>
              </w:rPr>
              <w:t xml:space="preserve">or CCAPP report) and </w:t>
            </w:r>
            <w:r w:rsidR="530CE1AC" w:rsidRPr="63F90F45">
              <w:rPr>
                <w:sz w:val="21"/>
                <w:szCs w:val="21"/>
              </w:rPr>
              <w:t xml:space="preserve">provincial or </w:t>
            </w:r>
            <w:r w:rsidRPr="63F90F45">
              <w:rPr>
                <w:sz w:val="21"/>
                <w:szCs w:val="21"/>
              </w:rPr>
              <w:t>territor</w:t>
            </w:r>
            <w:r w:rsidR="3647A354" w:rsidRPr="63F90F45">
              <w:rPr>
                <w:sz w:val="21"/>
                <w:szCs w:val="21"/>
              </w:rPr>
              <w:t>ial</w:t>
            </w:r>
            <w:r w:rsidRPr="63F90F45">
              <w:rPr>
                <w:sz w:val="21"/>
                <w:szCs w:val="21"/>
              </w:rPr>
              <w:t xml:space="preserve"> </w:t>
            </w:r>
            <w:r w:rsidR="5729C7A5" w:rsidRPr="63F90F45">
              <w:rPr>
                <w:sz w:val="21"/>
                <w:szCs w:val="21"/>
              </w:rPr>
              <w:t xml:space="preserve">pharmacy </w:t>
            </w:r>
            <w:r w:rsidRPr="63F90F45">
              <w:rPr>
                <w:sz w:val="21"/>
                <w:szCs w:val="21"/>
              </w:rPr>
              <w:t xml:space="preserve">regulatory </w:t>
            </w:r>
            <w:r w:rsidR="25EAF6AE" w:rsidRPr="63F90F45">
              <w:rPr>
                <w:sz w:val="21"/>
                <w:szCs w:val="21"/>
              </w:rPr>
              <w:t xml:space="preserve">inspection </w:t>
            </w:r>
            <w:r w:rsidRPr="63F90F45">
              <w:rPr>
                <w:sz w:val="21"/>
                <w:szCs w:val="21"/>
              </w:rPr>
              <w:t>report</w:t>
            </w:r>
          </w:p>
        </w:tc>
        <w:tc>
          <w:tcPr>
            <w:tcW w:w="3685" w:type="dxa"/>
            <w:tcBorders>
              <w:right w:val="single" w:sz="18" w:space="0" w:color="auto"/>
            </w:tcBorders>
          </w:tcPr>
          <w:p w14:paraId="75BF92F8" w14:textId="77777777" w:rsidR="00EA508E" w:rsidRDefault="00EA508E" w:rsidP="00B875A7"/>
        </w:tc>
      </w:tr>
      <w:tr w:rsidR="00EA508E" w14:paraId="568A848A" w14:textId="77777777" w:rsidTr="25781353">
        <w:tc>
          <w:tcPr>
            <w:tcW w:w="6215" w:type="dxa"/>
            <w:tcBorders>
              <w:left w:val="single" w:sz="18" w:space="0" w:color="auto"/>
              <w:bottom w:val="single" w:sz="18" w:space="0" w:color="auto"/>
            </w:tcBorders>
          </w:tcPr>
          <w:p w14:paraId="7532260C" w14:textId="12817DF9" w:rsidR="00EA508E" w:rsidRPr="007A3864" w:rsidRDefault="00EA508E" w:rsidP="00EA508E">
            <w:pPr>
              <w:ind w:left="720"/>
              <w:rPr>
                <w:sz w:val="21"/>
                <w:szCs w:val="21"/>
              </w:rPr>
            </w:pPr>
            <w:r w:rsidRPr="63F90F45">
              <w:rPr>
                <w:sz w:val="21"/>
                <w:szCs w:val="21"/>
              </w:rPr>
              <w:t>1.</w:t>
            </w:r>
            <w:r w:rsidR="7F106EED" w:rsidRPr="63F90F45">
              <w:rPr>
                <w:sz w:val="21"/>
                <w:szCs w:val="21"/>
              </w:rPr>
              <w:t>3</w:t>
            </w:r>
            <w:r w:rsidRPr="63F90F45">
              <w:rPr>
                <w:sz w:val="21"/>
                <w:szCs w:val="21"/>
              </w:rPr>
              <w:t xml:space="preserve"> Inspection reports </w:t>
            </w:r>
            <w:r w:rsidR="0C5DE63B" w:rsidRPr="63F90F45">
              <w:rPr>
                <w:sz w:val="21"/>
                <w:szCs w:val="21"/>
              </w:rPr>
              <w:t xml:space="preserve">and routine reports </w:t>
            </w:r>
            <w:r w:rsidRPr="63F90F45">
              <w:rPr>
                <w:sz w:val="21"/>
                <w:szCs w:val="21"/>
              </w:rPr>
              <w:t xml:space="preserve">associated with </w:t>
            </w:r>
            <w:r w:rsidR="62A1C5EC" w:rsidRPr="63F90F45">
              <w:rPr>
                <w:sz w:val="21"/>
                <w:szCs w:val="21"/>
              </w:rPr>
              <w:t xml:space="preserve">the </w:t>
            </w:r>
            <w:r w:rsidRPr="63F90F45">
              <w:rPr>
                <w:sz w:val="21"/>
                <w:szCs w:val="21"/>
              </w:rPr>
              <w:t xml:space="preserve">jointly operated Year </w:t>
            </w:r>
            <w:r w:rsidR="10518841" w:rsidRPr="63F90F45">
              <w:rPr>
                <w:sz w:val="21"/>
                <w:szCs w:val="21"/>
              </w:rPr>
              <w:t>1</w:t>
            </w:r>
            <w:r w:rsidRPr="63F90F45">
              <w:rPr>
                <w:sz w:val="21"/>
                <w:szCs w:val="21"/>
              </w:rPr>
              <w:t xml:space="preserve"> Program</w:t>
            </w:r>
          </w:p>
          <w:p w14:paraId="2A871920" w14:textId="1FEAA2CE" w:rsidR="00EA508E" w:rsidRPr="007A3864" w:rsidRDefault="00EA508E" w:rsidP="00EA508E">
            <w:pPr>
              <w:ind w:left="720"/>
              <w:rPr>
                <w:sz w:val="21"/>
                <w:szCs w:val="21"/>
              </w:rPr>
            </w:pPr>
            <w:r w:rsidRPr="007A3864">
              <w:rPr>
                <w:sz w:val="21"/>
                <w:szCs w:val="21"/>
              </w:rPr>
              <w:t>(2.1.1.2)</w:t>
            </w:r>
          </w:p>
        </w:tc>
        <w:tc>
          <w:tcPr>
            <w:tcW w:w="3685" w:type="dxa"/>
            <w:tcBorders>
              <w:bottom w:val="single" w:sz="18" w:space="0" w:color="auto"/>
              <w:right w:val="single" w:sz="18" w:space="0" w:color="auto"/>
            </w:tcBorders>
          </w:tcPr>
          <w:p w14:paraId="1BDBB3B9" w14:textId="77777777" w:rsidR="00EA508E" w:rsidRDefault="00EA508E" w:rsidP="00B875A7"/>
        </w:tc>
      </w:tr>
      <w:tr w:rsidR="00561E50" w14:paraId="04A57399" w14:textId="77777777" w:rsidTr="25781353">
        <w:tc>
          <w:tcPr>
            <w:tcW w:w="6215" w:type="dxa"/>
            <w:tcBorders>
              <w:top w:val="single" w:sz="18" w:space="0" w:color="auto"/>
              <w:left w:val="single" w:sz="18" w:space="0" w:color="auto"/>
              <w:bottom w:val="single" w:sz="18" w:space="0" w:color="auto"/>
            </w:tcBorders>
          </w:tcPr>
          <w:p w14:paraId="27384557" w14:textId="77777777" w:rsidR="00561E50" w:rsidRPr="007A3864" w:rsidRDefault="00561E50" w:rsidP="00B875A7">
            <w:pPr>
              <w:rPr>
                <w:sz w:val="21"/>
                <w:szCs w:val="21"/>
              </w:rPr>
            </w:pPr>
            <w:r w:rsidRPr="007A3864">
              <w:rPr>
                <w:sz w:val="21"/>
                <w:szCs w:val="21"/>
              </w:rPr>
              <w:t>2. Provincial or Territorial Pharmacy Regulation Inspection Report</w:t>
            </w:r>
          </w:p>
          <w:p w14:paraId="2665A5AD" w14:textId="11EC0995" w:rsidR="007A3864" w:rsidRPr="007A3864" w:rsidRDefault="007A3864" w:rsidP="00B875A7">
            <w:pPr>
              <w:rPr>
                <w:sz w:val="21"/>
                <w:szCs w:val="21"/>
              </w:rPr>
            </w:pPr>
          </w:p>
        </w:tc>
        <w:tc>
          <w:tcPr>
            <w:tcW w:w="3685" w:type="dxa"/>
            <w:tcBorders>
              <w:top w:val="single" w:sz="18" w:space="0" w:color="auto"/>
              <w:bottom w:val="single" w:sz="18" w:space="0" w:color="auto"/>
              <w:right w:val="single" w:sz="18" w:space="0" w:color="auto"/>
            </w:tcBorders>
          </w:tcPr>
          <w:p w14:paraId="2491B3A4" w14:textId="77777777" w:rsidR="00561E50" w:rsidRDefault="00561E50" w:rsidP="00B875A7"/>
        </w:tc>
      </w:tr>
      <w:tr w:rsidR="00561E50" w14:paraId="066DD5D1" w14:textId="77777777" w:rsidTr="25781353">
        <w:tc>
          <w:tcPr>
            <w:tcW w:w="6215" w:type="dxa"/>
            <w:tcBorders>
              <w:top w:val="single" w:sz="18" w:space="0" w:color="auto"/>
              <w:left w:val="single" w:sz="18" w:space="0" w:color="auto"/>
              <w:bottom w:val="single" w:sz="18" w:space="0" w:color="auto"/>
            </w:tcBorders>
          </w:tcPr>
          <w:p w14:paraId="2B9B6F5D" w14:textId="7B8D231C" w:rsidR="00561E50" w:rsidRPr="007A3864" w:rsidRDefault="00561E50" w:rsidP="00561E50">
            <w:pPr>
              <w:rPr>
                <w:sz w:val="21"/>
                <w:szCs w:val="21"/>
              </w:rPr>
            </w:pPr>
            <w:r w:rsidRPr="007A3864">
              <w:rPr>
                <w:sz w:val="21"/>
                <w:szCs w:val="21"/>
              </w:rPr>
              <w:t>3. Itinerary – CPRB will provide a template to use as a guide.</w:t>
            </w:r>
          </w:p>
          <w:p w14:paraId="23507AF5" w14:textId="57B26813" w:rsidR="00561E50" w:rsidRPr="007A3864" w:rsidRDefault="005445CB" w:rsidP="00561E50">
            <w:pPr>
              <w:rPr>
                <w:sz w:val="21"/>
                <w:szCs w:val="21"/>
              </w:rPr>
            </w:pPr>
            <w:r>
              <w:rPr>
                <w:sz w:val="21"/>
                <w:szCs w:val="21"/>
              </w:rPr>
              <w:t>Please work with your lead surveyor to customize it for your program</w:t>
            </w:r>
            <w:r w:rsidR="00561E50" w:rsidRPr="007A3864">
              <w:rPr>
                <w:sz w:val="21"/>
                <w:szCs w:val="21"/>
              </w:rPr>
              <w:t>. The itinerary must include meetings with:</w:t>
            </w:r>
          </w:p>
          <w:p w14:paraId="6189D474" w14:textId="3856D7A6" w:rsidR="00561E50" w:rsidRPr="00785C3E" w:rsidRDefault="00561E50" w:rsidP="00785C3E">
            <w:pPr>
              <w:pStyle w:val="ListParagraph"/>
              <w:numPr>
                <w:ilvl w:val="0"/>
                <w:numId w:val="14"/>
              </w:numPr>
              <w:rPr>
                <w:sz w:val="21"/>
                <w:szCs w:val="21"/>
              </w:rPr>
            </w:pPr>
            <w:r w:rsidRPr="00785C3E">
              <w:rPr>
                <w:sz w:val="21"/>
                <w:szCs w:val="21"/>
              </w:rPr>
              <w:t>The CEO (Administrative person to whom pharmacy reports)</w:t>
            </w:r>
          </w:p>
          <w:p w14:paraId="7FA862F8" w14:textId="769BBDB0" w:rsidR="00561E50" w:rsidRPr="00785C3E" w:rsidRDefault="00561E50" w:rsidP="00785C3E">
            <w:pPr>
              <w:pStyle w:val="ListParagraph"/>
              <w:numPr>
                <w:ilvl w:val="0"/>
                <w:numId w:val="14"/>
              </w:numPr>
              <w:rPr>
                <w:sz w:val="21"/>
                <w:szCs w:val="21"/>
              </w:rPr>
            </w:pPr>
            <w:r w:rsidRPr="00785C3E">
              <w:rPr>
                <w:sz w:val="21"/>
                <w:szCs w:val="21"/>
              </w:rPr>
              <w:t>The Pharmacy Administrative Team</w:t>
            </w:r>
          </w:p>
          <w:p w14:paraId="79E9B575" w14:textId="4FC90697" w:rsidR="00561E50" w:rsidRPr="00785C3E" w:rsidRDefault="00561E50" w:rsidP="00785C3E">
            <w:pPr>
              <w:pStyle w:val="ListParagraph"/>
              <w:numPr>
                <w:ilvl w:val="0"/>
                <w:numId w:val="14"/>
              </w:numPr>
              <w:rPr>
                <w:sz w:val="21"/>
                <w:szCs w:val="21"/>
              </w:rPr>
            </w:pPr>
            <w:r w:rsidRPr="00785C3E">
              <w:rPr>
                <w:sz w:val="21"/>
                <w:szCs w:val="21"/>
              </w:rPr>
              <w:t>Residency Program Director</w:t>
            </w:r>
          </w:p>
          <w:p w14:paraId="15E342F7" w14:textId="6E0EC038" w:rsidR="00561E50" w:rsidRPr="00785C3E" w:rsidRDefault="00561E50" w:rsidP="00785C3E">
            <w:pPr>
              <w:pStyle w:val="ListParagraph"/>
              <w:numPr>
                <w:ilvl w:val="0"/>
                <w:numId w:val="14"/>
              </w:numPr>
              <w:rPr>
                <w:sz w:val="21"/>
                <w:szCs w:val="21"/>
              </w:rPr>
            </w:pPr>
            <w:r w:rsidRPr="00785C3E">
              <w:rPr>
                <w:sz w:val="21"/>
                <w:szCs w:val="21"/>
              </w:rPr>
              <w:t>Residency Program Coordinator(s)</w:t>
            </w:r>
          </w:p>
          <w:p w14:paraId="4A8CC224" w14:textId="46F11DBA" w:rsidR="00561E50" w:rsidRPr="00785C3E" w:rsidRDefault="00561E50" w:rsidP="00785C3E">
            <w:pPr>
              <w:pStyle w:val="ListParagraph"/>
              <w:numPr>
                <w:ilvl w:val="0"/>
                <w:numId w:val="14"/>
              </w:numPr>
              <w:rPr>
                <w:sz w:val="21"/>
                <w:szCs w:val="21"/>
              </w:rPr>
            </w:pPr>
            <w:r w:rsidRPr="00785C3E">
              <w:rPr>
                <w:sz w:val="21"/>
                <w:szCs w:val="21"/>
              </w:rPr>
              <w:t>Residency Preceptors (from all campuses)</w:t>
            </w:r>
          </w:p>
          <w:p w14:paraId="1500B2B3" w14:textId="2B0E4C4D" w:rsidR="00561E50" w:rsidRPr="00785C3E" w:rsidRDefault="00561E50" w:rsidP="00785C3E">
            <w:pPr>
              <w:pStyle w:val="ListParagraph"/>
              <w:numPr>
                <w:ilvl w:val="0"/>
                <w:numId w:val="14"/>
              </w:numPr>
              <w:rPr>
                <w:sz w:val="21"/>
                <w:szCs w:val="21"/>
              </w:rPr>
            </w:pPr>
            <w:r w:rsidRPr="00785C3E">
              <w:rPr>
                <w:sz w:val="21"/>
                <w:szCs w:val="21"/>
              </w:rPr>
              <w:t>Residents</w:t>
            </w:r>
          </w:p>
          <w:p w14:paraId="2757F694" w14:textId="724F80E2" w:rsidR="00561E50" w:rsidRPr="00785C3E" w:rsidRDefault="00561E50" w:rsidP="00785C3E">
            <w:pPr>
              <w:pStyle w:val="ListParagraph"/>
              <w:numPr>
                <w:ilvl w:val="0"/>
                <w:numId w:val="14"/>
              </w:numPr>
              <w:rPr>
                <w:sz w:val="21"/>
                <w:szCs w:val="21"/>
              </w:rPr>
            </w:pPr>
            <w:r w:rsidRPr="63F90F45">
              <w:rPr>
                <w:sz w:val="21"/>
                <w:szCs w:val="21"/>
              </w:rPr>
              <w:t xml:space="preserve">Interdisciplinary Patient Care Team </w:t>
            </w:r>
          </w:p>
        </w:tc>
        <w:tc>
          <w:tcPr>
            <w:tcW w:w="3685" w:type="dxa"/>
            <w:tcBorders>
              <w:top w:val="single" w:sz="18" w:space="0" w:color="auto"/>
              <w:bottom w:val="single" w:sz="18" w:space="0" w:color="auto"/>
              <w:right w:val="single" w:sz="18" w:space="0" w:color="auto"/>
            </w:tcBorders>
          </w:tcPr>
          <w:p w14:paraId="749B5737" w14:textId="77777777" w:rsidR="00561E50" w:rsidRDefault="00561E50" w:rsidP="00B875A7"/>
        </w:tc>
      </w:tr>
      <w:tr w:rsidR="00561E50" w14:paraId="7D3A0EA7" w14:textId="77777777" w:rsidTr="25781353">
        <w:tc>
          <w:tcPr>
            <w:tcW w:w="6215" w:type="dxa"/>
            <w:tcBorders>
              <w:top w:val="single" w:sz="18" w:space="0" w:color="auto"/>
              <w:left w:val="single" w:sz="18" w:space="0" w:color="auto"/>
              <w:bottom w:val="single" w:sz="18" w:space="0" w:color="auto"/>
            </w:tcBorders>
          </w:tcPr>
          <w:p w14:paraId="178E022E" w14:textId="4FE8FF04" w:rsidR="00561E50" w:rsidRPr="007A3864" w:rsidRDefault="00561E50" w:rsidP="00B875A7">
            <w:pPr>
              <w:rPr>
                <w:sz w:val="21"/>
                <w:szCs w:val="21"/>
              </w:rPr>
            </w:pPr>
            <w:r w:rsidRPr="007A3864">
              <w:rPr>
                <w:sz w:val="21"/>
                <w:szCs w:val="21"/>
              </w:rPr>
              <w:t>4. CV Residency Program Director</w:t>
            </w:r>
          </w:p>
          <w:p w14:paraId="425FCFC2" w14:textId="34C8D487" w:rsidR="007A3864" w:rsidRPr="007A3864" w:rsidRDefault="007A3864" w:rsidP="00B875A7">
            <w:pPr>
              <w:rPr>
                <w:sz w:val="21"/>
                <w:szCs w:val="21"/>
              </w:rPr>
            </w:pPr>
          </w:p>
        </w:tc>
        <w:tc>
          <w:tcPr>
            <w:tcW w:w="3685" w:type="dxa"/>
            <w:tcBorders>
              <w:top w:val="single" w:sz="18" w:space="0" w:color="auto"/>
              <w:bottom w:val="single" w:sz="18" w:space="0" w:color="auto"/>
              <w:right w:val="single" w:sz="18" w:space="0" w:color="auto"/>
            </w:tcBorders>
          </w:tcPr>
          <w:p w14:paraId="70B224C8" w14:textId="77777777" w:rsidR="00561E50" w:rsidRDefault="00561E50" w:rsidP="00B875A7"/>
        </w:tc>
      </w:tr>
      <w:tr w:rsidR="00561E50" w14:paraId="2B818184" w14:textId="77777777" w:rsidTr="25781353">
        <w:tc>
          <w:tcPr>
            <w:tcW w:w="6215" w:type="dxa"/>
            <w:tcBorders>
              <w:top w:val="single" w:sz="18" w:space="0" w:color="auto"/>
              <w:left w:val="single" w:sz="18" w:space="0" w:color="auto"/>
              <w:bottom w:val="single" w:sz="18" w:space="0" w:color="auto"/>
            </w:tcBorders>
          </w:tcPr>
          <w:p w14:paraId="320B9B73" w14:textId="64D51976" w:rsidR="00561E50" w:rsidRPr="007A3864" w:rsidRDefault="00561E50" w:rsidP="00B875A7">
            <w:pPr>
              <w:rPr>
                <w:sz w:val="21"/>
                <w:szCs w:val="21"/>
              </w:rPr>
            </w:pPr>
            <w:r w:rsidRPr="007A3864">
              <w:rPr>
                <w:sz w:val="21"/>
                <w:szCs w:val="21"/>
              </w:rPr>
              <w:t>5. CV Residency Program Coordinator</w:t>
            </w:r>
          </w:p>
          <w:p w14:paraId="7F7DF008" w14:textId="3DF66EF6" w:rsidR="007A3864" w:rsidRPr="007A3864" w:rsidRDefault="007A3864" w:rsidP="00B875A7">
            <w:pPr>
              <w:rPr>
                <w:sz w:val="21"/>
                <w:szCs w:val="21"/>
              </w:rPr>
            </w:pPr>
          </w:p>
        </w:tc>
        <w:tc>
          <w:tcPr>
            <w:tcW w:w="3685" w:type="dxa"/>
            <w:tcBorders>
              <w:top w:val="single" w:sz="18" w:space="0" w:color="auto"/>
              <w:bottom w:val="single" w:sz="18" w:space="0" w:color="auto"/>
              <w:right w:val="single" w:sz="18" w:space="0" w:color="auto"/>
            </w:tcBorders>
          </w:tcPr>
          <w:p w14:paraId="1D6E4CB5" w14:textId="77777777" w:rsidR="00561E50" w:rsidRDefault="00561E50" w:rsidP="00B875A7"/>
        </w:tc>
      </w:tr>
      <w:tr w:rsidR="00561E50" w14:paraId="28A5A570" w14:textId="77777777" w:rsidTr="25781353">
        <w:tc>
          <w:tcPr>
            <w:tcW w:w="6215" w:type="dxa"/>
            <w:tcBorders>
              <w:top w:val="single" w:sz="18" w:space="0" w:color="auto"/>
              <w:left w:val="single" w:sz="18" w:space="0" w:color="auto"/>
            </w:tcBorders>
          </w:tcPr>
          <w:p w14:paraId="37FCC74F" w14:textId="20C1C596" w:rsidR="007A3864" w:rsidRPr="007A3864" w:rsidRDefault="00561E50" w:rsidP="00B875A7">
            <w:pPr>
              <w:rPr>
                <w:sz w:val="21"/>
                <w:szCs w:val="21"/>
              </w:rPr>
            </w:pPr>
            <w:r w:rsidRPr="007A3864">
              <w:rPr>
                <w:sz w:val="21"/>
                <w:szCs w:val="21"/>
              </w:rPr>
              <w:t xml:space="preserve">6. Request for Accreditation and related documents: </w:t>
            </w:r>
          </w:p>
        </w:tc>
        <w:tc>
          <w:tcPr>
            <w:tcW w:w="3685" w:type="dxa"/>
            <w:tcBorders>
              <w:top w:val="single" w:sz="18" w:space="0" w:color="auto"/>
              <w:right w:val="single" w:sz="18" w:space="0" w:color="auto"/>
            </w:tcBorders>
          </w:tcPr>
          <w:p w14:paraId="7776EE6C" w14:textId="77777777" w:rsidR="00561E50" w:rsidRDefault="00561E50" w:rsidP="00B875A7"/>
        </w:tc>
      </w:tr>
      <w:tr w:rsidR="00EA508E" w14:paraId="0BCEC4F5" w14:textId="77777777" w:rsidTr="25781353">
        <w:tc>
          <w:tcPr>
            <w:tcW w:w="6215" w:type="dxa"/>
            <w:tcBorders>
              <w:left w:val="single" w:sz="18" w:space="0" w:color="auto"/>
            </w:tcBorders>
          </w:tcPr>
          <w:p w14:paraId="76B7B9D6" w14:textId="4B9C52D3" w:rsidR="00EA508E" w:rsidRPr="007A3864" w:rsidRDefault="00EA508E" w:rsidP="00EA508E">
            <w:pPr>
              <w:ind w:left="720"/>
              <w:rPr>
                <w:sz w:val="21"/>
                <w:szCs w:val="21"/>
              </w:rPr>
            </w:pPr>
            <w:r w:rsidRPr="007A3864">
              <w:rPr>
                <w:sz w:val="21"/>
                <w:szCs w:val="21"/>
              </w:rPr>
              <w:t>6.1 Organization and pharmacy department structure. Include any changes to the organizational structure of the organization, organizational structure of the pharmacy department since the last CPRB accreditation in any format (e.g., PowerPoint, Word)</w:t>
            </w:r>
          </w:p>
        </w:tc>
        <w:tc>
          <w:tcPr>
            <w:tcW w:w="3685" w:type="dxa"/>
            <w:tcBorders>
              <w:right w:val="single" w:sz="18" w:space="0" w:color="auto"/>
            </w:tcBorders>
          </w:tcPr>
          <w:p w14:paraId="01614633" w14:textId="77777777" w:rsidR="00EA508E" w:rsidRDefault="00EA508E" w:rsidP="00B875A7"/>
        </w:tc>
      </w:tr>
      <w:tr w:rsidR="00EA508E" w14:paraId="12CD33D9" w14:textId="77777777" w:rsidTr="25781353">
        <w:tc>
          <w:tcPr>
            <w:tcW w:w="6215" w:type="dxa"/>
            <w:tcBorders>
              <w:left w:val="single" w:sz="18" w:space="0" w:color="auto"/>
            </w:tcBorders>
          </w:tcPr>
          <w:p w14:paraId="4469F438" w14:textId="0082E0E6" w:rsidR="00EA508E" w:rsidRPr="007A3864" w:rsidRDefault="00EA508E" w:rsidP="00EA508E">
            <w:pPr>
              <w:ind w:left="720"/>
              <w:rPr>
                <w:sz w:val="21"/>
                <w:szCs w:val="21"/>
              </w:rPr>
            </w:pPr>
            <w:r w:rsidRPr="007A3864">
              <w:rPr>
                <w:sz w:val="21"/>
                <w:szCs w:val="21"/>
              </w:rPr>
              <w:t>6.2 Mission statement and goals/objectives of the pharmacy department</w:t>
            </w:r>
          </w:p>
        </w:tc>
        <w:tc>
          <w:tcPr>
            <w:tcW w:w="3685" w:type="dxa"/>
            <w:tcBorders>
              <w:right w:val="single" w:sz="18" w:space="0" w:color="auto"/>
            </w:tcBorders>
          </w:tcPr>
          <w:p w14:paraId="2FCAD153" w14:textId="77777777" w:rsidR="00EA508E" w:rsidRDefault="00EA508E" w:rsidP="00B875A7"/>
        </w:tc>
      </w:tr>
      <w:tr w:rsidR="00EA508E" w14:paraId="1F73E378" w14:textId="77777777" w:rsidTr="25781353">
        <w:tc>
          <w:tcPr>
            <w:tcW w:w="6215" w:type="dxa"/>
            <w:tcBorders>
              <w:left w:val="single" w:sz="18" w:space="0" w:color="auto"/>
            </w:tcBorders>
          </w:tcPr>
          <w:p w14:paraId="423072B2" w14:textId="24F661D8" w:rsidR="00EA508E" w:rsidRPr="007A3864" w:rsidRDefault="00EA508E" w:rsidP="00EA508E">
            <w:pPr>
              <w:ind w:left="720"/>
              <w:rPr>
                <w:sz w:val="21"/>
                <w:szCs w:val="21"/>
              </w:rPr>
            </w:pPr>
            <w:r w:rsidRPr="007A3864">
              <w:rPr>
                <w:sz w:val="21"/>
                <w:szCs w:val="21"/>
              </w:rPr>
              <w:t>6.3 Most recent pharmacy services annual report</w:t>
            </w:r>
          </w:p>
        </w:tc>
        <w:tc>
          <w:tcPr>
            <w:tcW w:w="3685" w:type="dxa"/>
            <w:tcBorders>
              <w:right w:val="single" w:sz="18" w:space="0" w:color="auto"/>
            </w:tcBorders>
          </w:tcPr>
          <w:p w14:paraId="57ACE902" w14:textId="77777777" w:rsidR="00EA508E" w:rsidRDefault="00EA508E" w:rsidP="00B875A7"/>
        </w:tc>
      </w:tr>
      <w:tr w:rsidR="00EA508E" w14:paraId="4C0B7A65" w14:textId="77777777" w:rsidTr="25781353">
        <w:tc>
          <w:tcPr>
            <w:tcW w:w="6215" w:type="dxa"/>
            <w:tcBorders>
              <w:left w:val="single" w:sz="18" w:space="0" w:color="auto"/>
            </w:tcBorders>
          </w:tcPr>
          <w:p w14:paraId="06C3B575" w14:textId="4FEDE765" w:rsidR="00EA508E" w:rsidRPr="007A3864" w:rsidRDefault="00EA508E" w:rsidP="00EA508E">
            <w:pPr>
              <w:ind w:left="720"/>
              <w:rPr>
                <w:sz w:val="21"/>
                <w:szCs w:val="21"/>
              </w:rPr>
            </w:pPr>
            <w:r w:rsidRPr="007A3864">
              <w:rPr>
                <w:sz w:val="21"/>
                <w:szCs w:val="21"/>
              </w:rPr>
              <w:t>6.4 Quality improvement plan and strategic plan for the pharmacy department</w:t>
            </w:r>
          </w:p>
        </w:tc>
        <w:tc>
          <w:tcPr>
            <w:tcW w:w="3685" w:type="dxa"/>
            <w:tcBorders>
              <w:right w:val="single" w:sz="18" w:space="0" w:color="auto"/>
            </w:tcBorders>
          </w:tcPr>
          <w:p w14:paraId="1D150FCA" w14:textId="77777777" w:rsidR="00EA508E" w:rsidRDefault="00EA508E" w:rsidP="00B875A7"/>
        </w:tc>
      </w:tr>
      <w:tr w:rsidR="00EA508E" w14:paraId="0E1FD585" w14:textId="77777777" w:rsidTr="25781353">
        <w:tc>
          <w:tcPr>
            <w:tcW w:w="6215" w:type="dxa"/>
            <w:tcBorders>
              <w:left w:val="single" w:sz="18" w:space="0" w:color="auto"/>
            </w:tcBorders>
          </w:tcPr>
          <w:p w14:paraId="7734E2B0" w14:textId="52897C21" w:rsidR="00EA508E" w:rsidRPr="007A3864" w:rsidRDefault="00EA508E" w:rsidP="00EA508E">
            <w:pPr>
              <w:ind w:left="720"/>
              <w:rPr>
                <w:sz w:val="21"/>
                <w:szCs w:val="21"/>
              </w:rPr>
            </w:pPr>
            <w:r w:rsidRPr="007A3864">
              <w:rPr>
                <w:sz w:val="21"/>
                <w:szCs w:val="21"/>
              </w:rPr>
              <w:t>6.5 Quality improvement plan and strategic plan for the residency program</w:t>
            </w:r>
          </w:p>
        </w:tc>
        <w:tc>
          <w:tcPr>
            <w:tcW w:w="3685" w:type="dxa"/>
            <w:tcBorders>
              <w:right w:val="single" w:sz="18" w:space="0" w:color="auto"/>
            </w:tcBorders>
          </w:tcPr>
          <w:p w14:paraId="42E9604A" w14:textId="77777777" w:rsidR="00EA508E" w:rsidRDefault="00EA508E" w:rsidP="00B875A7"/>
        </w:tc>
      </w:tr>
      <w:tr w:rsidR="00EA508E" w14:paraId="4489F297" w14:textId="77777777" w:rsidTr="25781353">
        <w:tc>
          <w:tcPr>
            <w:tcW w:w="6215" w:type="dxa"/>
            <w:tcBorders>
              <w:left w:val="single" w:sz="18" w:space="0" w:color="auto"/>
              <w:bottom w:val="single" w:sz="18" w:space="0" w:color="auto"/>
            </w:tcBorders>
          </w:tcPr>
          <w:p w14:paraId="4E25DB20" w14:textId="6FEF200B" w:rsidR="00EA508E" w:rsidRPr="007A3864" w:rsidRDefault="00EA508E" w:rsidP="00EA508E">
            <w:pPr>
              <w:ind w:left="720"/>
              <w:rPr>
                <w:sz w:val="21"/>
                <w:szCs w:val="21"/>
              </w:rPr>
            </w:pPr>
            <w:r w:rsidRPr="007A3864">
              <w:rPr>
                <w:sz w:val="21"/>
                <w:szCs w:val="21"/>
              </w:rPr>
              <w:t>6.6 Schedule of residency rotations including preceptors for current year and since previous accreditation survey</w:t>
            </w:r>
          </w:p>
        </w:tc>
        <w:tc>
          <w:tcPr>
            <w:tcW w:w="3685" w:type="dxa"/>
            <w:tcBorders>
              <w:bottom w:val="single" w:sz="18" w:space="0" w:color="auto"/>
              <w:right w:val="single" w:sz="18" w:space="0" w:color="auto"/>
            </w:tcBorders>
          </w:tcPr>
          <w:p w14:paraId="1D54428E" w14:textId="77777777" w:rsidR="00EA508E" w:rsidRDefault="00EA508E" w:rsidP="00B875A7"/>
        </w:tc>
      </w:tr>
      <w:tr w:rsidR="00561E50" w14:paraId="7E1BCEF6" w14:textId="77777777" w:rsidTr="25781353">
        <w:tc>
          <w:tcPr>
            <w:tcW w:w="6215" w:type="dxa"/>
            <w:tcBorders>
              <w:top w:val="single" w:sz="18" w:space="0" w:color="auto"/>
              <w:left w:val="single" w:sz="18" w:space="0" w:color="auto"/>
              <w:bottom w:val="single" w:sz="18" w:space="0" w:color="auto"/>
            </w:tcBorders>
          </w:tcPr>
          <w:p w14:paraId="712AC28A" w14:textId="77777777" w:rsidR="00561E50" w:rsidRPr="007A3864" w:rsidRDefault="00561E50" w:rsidP="00B875A7">
            <w:pPr>
              <w:rPr>
                <w:sz w:val="21"/>
                <w:szCs w:val="21"/>
              </w:rPr>
            </w:pPr>
            <w:r w:rsidRPr="007A3864">
              <w:rPr>
                <w:sz w:val="21"/>
                <w:szCs w:val="21"/>
              </w:rPr>
              <w:t xml:space="preserve">7. Residency Advisory Committee Terms of Reference and minutes since previous accreditation survey and current year. </w:t>
            </w:r>
          </w:p>
          <w:p w14:paraId="527140F7" w14:textId="44C5BE85" w:rsidR="007A3864" w:rsidRPr="007A3864" w:rsidRDefault="007A3864" w:rsidP="00B875A7">
            <w:pPr>
              <w:rPr>
                <w:sz w:val="21"/>
                <w:szCs w:val="21"/>
              </w:rPr>
            </w:pPr>
          </w:p>
        </w:tc>
        <w:tc>
          <w:tcPr>
            <w:tcW w:w="3685" w:type="dxa"/>
            <w:tcBorders>
              <w:top w:val="single" w:sz="18" w:space="0" w:color="auto"/>
              <w:bottom w:val="single" w:sz="18" w:space="0" w:color="auto"/>
              <w:right w:val="single" w:sz="18" w:space="0" w:color="auto"/>
            </w:tcBorders>
          </w:tcPr>
          <w:p w14:paraId="5DD6377E" w14:textId="77777777" w:rsidR="00561E50" w:rsidRDefault="00561E50" w:rsidP="00B875A7"/>
        </w:tc>
      </w:tr>
      <w:tr w:rsidR="00561E50" w14:paraId="379CEA95" w14:textId="77777777" w:rsidTr="25781353">
        <w:tc>
          <w:tcPr>
            <w:tcW w:w="6215" w:type="dxa"/>
            <w:tcBorders>
              <w:top w:val="single" w:sz="18" w:space="0" w:color="auto"/>
              <w:left w:val="single" w:sz="18" w:space="0" w:color="auto"/>
              <w:bottom w:val="single" w:sz="18" w:space="0" w:color="auto"/>
            </w:tcBorders>
          </w:tcPr>
          <w:p w14:paraId="3BB771CB" w14:textId="77777777" w:rsidR="00561E50" w:rsidRPr="007A3864" w:rsidRDefault="00561E50" w:rsidP="00561E50">
            <w:pPr>
              <w:pStyle w:val="Default"/>
              <w:rPr>
                <w:sz w:val="21"/>
                <w:szCs w:val="21"/>
              </w:rPr>
            </w:pPr>
            <w:r w:rsidRPr="007A3864">
              <w:rPr>
                <w:sz w:val="21"/>
                <w:szCs w:val="21"/>
              </w:rPr>
              <w:t xml:space="preserve">8. Residency Program Manual and Residency in its entirety- which shall include but not be limited to the following policies and procedures: </w:t>
            </w:r>
          </w:p>
          <w:p w14:paraId="079558F5" w14:textId="046F25D8" w:rsidR="00561E50" w:rsidRPr="007A3864" w:rsidRDefault="00561E50" w:rsidP="00785C3E">
            <w:pPr>
              <w:pStyle w:val="Default"/>
              <w:numPr>
                <w:ilvl w:val="0"/>
                <w:numId w:val="13"/>
              </w:numPr>
              <w:rPr>
                <w:sz w:val="21"/>
                <w:szCs w:val="21"/>
              </w:rPr>
            </w:pPr>
            <w:r w:rsidRPr="007A3864">
              <w:rPr>
                <w:sz w:val="21"/>
                <w:szCs w:val="21"/>
              </w:rPr>
              <w:t xml:space="preserve">Table of Contents </w:t>
            </w:r>
          </w:p>
          <w:p w14:paraId="07826B2D" w14:textId="41BDF13C" w:rsidR="00561E50" w:rsidRPr="007A3864" w:rsidRDefault="00561E50" w:rsidP="00785C3E">
            <w:pPr>
              <w:pStyle w:val="Default"/>
              <w:numPr>
                <w:ilvl w:val="0"/>
                <w:numId w:val="13"/>
              </w:numPr>
              <w:rPr>
                <w:sz w:val="21"/>
                <w:szCs w:val="21"/>
              </w:rPr>
            </w:pPr>
            <w:r w:rsidRPr="007A3864">
              <w:rPr>
                <w:sz w:val="21"/>
                <w:szCs w:val="21"/>
              </w:rPr>
              <w:t xml:space="preserve">Expectations of residents and preceptors </w:t>
            </w:r>
          </w:p>
          <w:p w14:paraId="31564B5B" w14:textId="2EDC5A26" w:rsidR="00561E50" w:rsidRPr="007A3864" w:rsidRDefault="00561E50" w:rsidP="00785C3E">
            <w:pPr>
              <w:pStyle w:val="Default"/>
              <w:numPr>
                <w:ilvl w:val="0"/>
                <w:numId w:val="13"/>
              </w:numPr>
              <w:rPr>
                <w:sz w:val="21"/>
                <w:szCs w:val="21"/>
              </w:rPr>
            </w:pPr>
            <w:r w:rsidRPr="007A3864">
              <w:rPr>
                <w:sz w:val="21"/>
                <w:szCs w:val="21"/>
              </w:rPr>
              <w:t xml:space="preserve">The intended educational outcomes of the program </w:t>
            </w:r>
          </w:p>
          <w:p w14:paraId="5695A9C4" w14:textId="6F105217" w:rsidR="00561E50" w:rsidRPr="007A3864" w:rsidRDefault="00561E50" w:rsidP="00785C3E">
            <w:pPr>
              <w:pStyle w:val="Default"/>
              <w:numPr>
                <w:ilvl w:val="0"/>
                <w:numId w:val="13"/>
              </w:numPr>
              <w:rPr>
                <w:sz w:val="21"/>
                <w:szCs w:val="21"/>
              </w:rPr>
            </w:pPr>
            <w:r w:rsidRPr="63F90F45">
              <w:rPr>
                <w:sz w:val="21"/>
                <w:szCs w:val="21"/>
              </w:rPr>
              <w:t>Description (</w:t>
            </w:r>
            <w:r w:rsidR="4548B801" w:rsidRPr="63F90F45">
              <w:rPr>
                <w:sz w:val="21"/>
                <w:szCs w:val="21"/>
              </w:rPr>
              <w:t>l</w:t>
            </w:r>
            <w:r w:rsidRPr="63F90F45">
              <w:rPr>
                <w:sz w:val="21"/>
                <w:szCs w:val="21"/>
              </w:rPr>
              <w:t xml:space="preserve">earning goals and objectives) for each residency rotation available for each resident(s) </w:t>
            </w:r>
          </w:p>
          <w:p w14:paraId="469E9786" w14:textId="602A1D16" w:rsidR="00561E50" w:rsidRPr="007A3864" w:rsidRDefault="00561E50" w:rsidP="00785C3E">
            <w:pPr>
              <w:pStyle w:val="Default"/>
              <w:numPr>
                <w:ilvl w:val="0"/>
                <w:numId w:val="13"/>
              </w:numPr>
              <w:rPr>
                <w:sz w:val="21"/>
                <w:szCs w:val="21"/>
              </w:rPr>
            </w:pPr>
            <w:r w:rsidRPr="63F90F45">
              <w:rPr>
                <w:sz w:val="21"/>
                <w:szCs w:val="21"/>
              </w:rPr>
              <w:t>Description (</w:t>
            </w:r>
            <w:r w:rsidR="7137D8F1" w:rsidRPr="63F90F45">
              <w:rPr>
                <w:sz w:val="21"/>
                <w:szCs w:val="21"/>
              </w:rPr>
              <w:t>l</w:t>
            </w:r>
            <w:r w:rsidRPr="63F90F45">
              <w:rPr>
                <w:sz w:val="21"/>
                <w:szCs w:val="21"/>
              </w:rPr>
              <w:t>earning goals and objectives; schedule) of the formal academic curriculum (e.g., mandatory course work, mandatory academic half-</w:t>
            </w:r>
            <w:r w:rsidR="00243C85" w:rsidRPr="63F90F45">
              <w:rPr>
                <w:sz w:val="21"/>
                <w:szCs w:val="21"/>
              </w:rPr>
              <w:t>days,</w:t>
            </w:r>
            <w:r w:rsidRPr="63F90F45">
              <w:rPr>
                <w:sz w:val="21"/>
                <w:szCs w:val="21"/>
              </w:rPr>
              <w:t xml:space="preserve"> or full days) </w:t>
            </w:r>
          </w:p>
          <w:p w14:paraId="4D27C8EB" w14:textId="37B7AE66" w:rsidR="00561E50" w:rsidRPr="007A3864" w:rsidRDefault="00561E50" w:rsidP="00785C3E">
            <w:pPr>
              <w:pStyle w:val="Default"/>
              <w:numPr>
                <w:ilvl w:val="0"/>
                <w:numId w:val="13"/>
              </w:numPr>
              <w:rPr>
                <w:sz w:val="21"/>
                <w:szCs w:val="21"/>
              </w:rPr>
            </w:pPr>
            <w:r w:rsidRPr="007A3864">
              <w:rPr>
                <w:sz w:val="21"/>
                <w:szCs w:val="21"/>
              </w:rPr>
              <w:t xml:space="preserve">Evaluation/Assessment forms – provide access to online evaluation forms if applicable </w:t>
            </w:r>
          </w:p>
          <w:p w14:paraId="0A53C607" w14:textId="1CAA451D" w:rsidR="00561E50" w:rsidRPr="007A3864" w:rsidRDefault="00561E50" w:rsidP="00785C3E">
            <w:pPr>
              <w:pStyle w:val="Default"/>
              <w:numPr>
                <w:ilvl w:val="0"/>
                <w:numId w:val="13"/>
              </w:numPr>
              <w:rPr>
                <w:sz w:val="21"/>
                <w:szCs w:val="21"/>
              </w:rPr>
            </w:pPr>
            <w:r w:rsidRPr="007A3864">
              <w:rPr>
                <w:sz w:val="21"/>
                <w:szCs w:val="21"/>
              </w:rPr>
              <w:t xml:space="preserve">Resident performance – self-assessment </w:t>
            </w:r>
          </w:p>
          <w:p w14:paraId="4AE0A82D" w14:textId="4B2A3D01" w:rsidR="00561E50" w:rsidRPr="007A3864" w:rsidRDefault="00561E50" w:rsidP="00785C3E">
            <w:pPr>
              <w:pStyle w:val="Default"/>
              <w:numPr>
                <w:ilvl w:val="0"/>
                <w:numId w:val="13"/>
              </w:numPr>
              <w:rPr>
                <w:sz w:val="21"/>
                <w:szCs w:val="21"/>
              </w:rPr>
            </w:pPr>
            <w:r w:rsidRPr="007A3864">
              <w:rPr>
                <w:sz w:val="21"/>
                <w:szCs w:val="21"/>
              </w:rPr>
              <w:t xml:space="preserve">Resident evaluation of preceptor </w:t>
            </w:r>
          </w:p>
          <w:p w14:paraId="27A09194" w14:textId="2E73368A" w:rsidR="00561E50" w:rsidRPr="007A3864" w:rsidRDefault="00561E50" w:rsidP="00785C3E">
            <w:pPr>
              <w:pStyle w:val="Default"/>
              <w:numPr>
                <w:ilvl w:val="0"/>
                <w:numId w:val="13"/>
              </w:numPr>
              <w:rPr>
                <w:sz w:val="21"/>
                <w:szCs w:val="21"/>
              </w:rPr>
            </w:pPr>
            <w:r w:rsidRPr="007A3864">
              <w:rPr>
                <w:sz w:val="21"/>
                <w:szCs w:val="21"/>
              </w:rPr>
              <w:t xml:space="preserve">Resident evaluation of rotation </w:t>
            </w:r>
          </w:p>
          <w:p w14:paraId="55FD9C54" w14:textId="15002A8C" w:rsidR="00561E50" w:rsidRPr="007A3864" w:rsidRDefault="00561E50" w:rsidP="00785C3E">
            <w:pPr>
              <w:pStyle w:val="Default"/>
              <w:numPr>
                <w:ilvl w:val="0"/>
                <w:numId w:val="13"/>
              </w:numPr>
              <w:rPr>
                <w:sz w:val="21"/>
                <w:szCs w:val="21"/>
              </w:rPr>
            </w:pPr>
            <w:r w:rsidRPr="007A3864">
              <w:rPr>
                <w:sz w:val="21"/>
                <w:szCs w:val="21"/>
              </w:rPr>
              <w:t xml:space="preserve">Resident evaluation of Coordinator </w:t>
            </w:r>
          </w:p>
          <w:p w14:paraId="7D6319E1" w14:textId="426CEB3D" w:rsidR="00561E50" w:rsidRPr="007A3864" w:rsidRDefault="00561E50" w:rsidP="00785C3E">
            <w:pPr>
              <w:pStyle w:val="Default"/>
              <w:numPr>
                <w:ilvl w:val="0"/>
                <w:numId w:val="13"/>
              </w:numPr>
              <w:rPr>
                <w:sz w:val="21"/>
                <w:szCs w:val="21"/>
              </w:rPr>
            </w:pPr>
            <w:r w:rsidRPr="007A3864">
              <w:rPr>
                <w:sz w:val="21"/>
                <w:szCs w:val="21"/>
              </w:rPr>
              <w:t xml:space="preserve">Resident evaluation of Program Director </w:t>
            </w:r>
          </w:p>
          <w:p w14:paraId="5DE4C4FF" w14:textId="67896DB5" w:rsidR="00561E50" w:rsidRPr="007A3864" w:rsidRDefault="00561E50" w:rsidP="00785C3E">
            <w:pPr>
              <w:pStyle w:val="Default"/>
              <w:numPr>
                <w:ilvl w:val="0"/>
                <w:numId w:val="13"/>
              </w:numPr>
              <w:rPr>
                <w:sz w:val="21"/>
                <w:szCs w:val="21"/>
              </w:rPr>
            </w:pPr>
            <w:r w:rsidRPr="007A3864">
              <w:rPr>
                <w:sz w:val="21"/>
                <w:szCs w:val="21"/>
              </w:rPr>
              <w:t xml:space="preserve">Resident evaluation of Residency program </w:t>
            </w:r>
          </w:p>
          <w:p w14:paraId="2C665902" w14:textId="1E429DD6" w:rsidR="00561E50" w:rsidRPr="007A3864" w:rsidRDefault="00561E50" w:rsidP="00785C3E">
            <w:pPr>
              <w:pStyle w:val="Default"/>
              <w:numPr>
                <w:ilvl w:val="0"/>
                <w:numId w:val="13"/>
              </w:numPr>
              <w:rPr>
                <w:sz w:val="21"/>
                <w:szCs w:val="21"/>
              </w:rPr>
            </w:pPr>
            <w:r w:rsidRPr="007A3864">
              <w:rPr>
                <w:sz w:val="21"/>
                <w:szCs w:val="21"/>
              </w:rPr>
              <w:t xml:space="preserve">Preceptor assessment of resident </w:t>
            </w:r>
          </w:p>
          <w:p w14:paraId="6D716A8E" w14:textId="7CADCF7D" w:rsidR="00561E50" w:rsidRPr="007A3864" w:rsidRDefault="00561E50" w:rsidP="00785C3E">
            <w:pPr>
              <w:pStyle w:val="Default"/>
              <w:numPr>
                <w:ilvl w:val="0"/>
                <w:numId w:val="13"/>
              </w:numPr>
              <w:rPr>
                <w:sz w:val="21"/>
                <w:szCs w:val="21"/>
              </w:rPr>
            </w:pPr>
            <w:r w:rsidRPr="63F90F45">
              <w:rPr>
                <w:sz w:val="21"/>
                <w:szCs w:val="21"/>
              </w:rPr>
              <w:t xml:space="preserve">Preceptor self-assessment </w:t>
            </w:r>
          </w:p>
          <w:p w14:paraId="34CC48AE" w14:textId="4357456D" w:rsidR="54CC1A66" w:rsidRDefault="54CC1A66" w:rsidP="63F90F45">
            <w:pPr>
              <w:pStyle w:val="Default"/>
              <w:numPr>
                <w:ilvl w:val="0"/>
                <w:numId w:val="13"/>
              </w:numPr>
              <w:rPr>
                <w:sz w:val="21"/>
                <w:szCs w:val="21"/>
              </w:rPr>
            </w:pPr>
            <w:r w:rsidRPr="63F90F45">
              <w:rPr>
                <w:sz w:val="21"/>
                <w:szCs w:val="21"/>
              </w:rPr>
              <w:t>Quarterly or summative assessment process</w:t>
            </w:r>
          </w:p>
          <w:p w14:paraId="3311B8B5" w14:textId="32FDE9D1" w:rsidR="00561E50" w:rsidRPr="007A3864" w:rsidRDefault="00561E50" w:rsidP="00785C3E">
            <w:pPr>
              <w:pStyle w:val="Default"/>
              <w:numPr>
                <w:ilvl w:val="0"/>
                <w:numId w:val="13"/>
              </w:numPr>
              <w:rPr>
                <w:sz w:val="21"/>
                <w:szCs w:val="21"/>
              </w:rPr>
            </w:pPr>
            <w:r w:rsidRPr="007A3864">
              <w:rPr>
                <w:sz w:val="21"/>
                <w:szCs w:val="21"/>
              </w:rPr>
              <w:t xml:space="preserve">Criteria for successful completion of the program </w:t>
            </w:r>
          </w:p>
          <w:p w14:paraId="49E7B99E" w14:textId="51FFD70F" w:rsidR="00561E50" w:rsidRPr="007A3864" w:rsidRDefault="00561E50" w:rsidP="00785C3E">
            <w:pPr>
              <w:pStyle w:val="Default"/>
              <w:numPr>
                <w:ilvl w:val="0"/>
                <w:numId w:val="13"/>
              </w:numPr>
              <w:rPr>
                <w:sz w:val="21"/>
                <w:szCs w:val="21"/>
              </w:rPr>
            </w:pPr>
            <w:r w:rsidRPr="007A3864">
              <w:rPr>
                <w:sz w:val="21"/>
                <w:szCs w:val="21"/>
              </w:rPr>
              <w:t xml:space="preserve">Policies concerning professional, family, and sick leave and the effect such leaves shall have on the residents’ ability to complete the program </w:t>
            </w:r>
          </w:p>
          <w:p w14:paraId="59C8AF46" w14:textId="5EEA3603" w:rsidR="00561E50" w:rsidRPr="007A3864" w:rsidRDefault="00561E50" w:rsidP="00785C3E">
            <w:pPr>
              <w:pStyle w:val="Default"/>
              <w:numPr>
                <w:ilvl w:val="0"/>
                <w:numId w:val="13"/>
              </w:numPr>
              <w:rPr>
                <w:sz w:val="21"/>
                <w:szCs w:val="21"/>
              </w:rPr>
            </w:pPr>
            <w:r w:rsidRPr="007A3864">
              <w:rPr>
                <w:sz w:val="21"/>
                <w:szCs w:val="21"/>
              </w:rPr>
              <w:lastRenderedPageBreak/>
              <w:t xml:space="preserve">Policies governing scheduling of residency experiences, including duty (service) roster shifts, if applicable </w:t>
            </w:r>
          </w:p>
          <w:p w14:paraId="02F8F836" w14:textId="5A26E994" w:rsidR="00561E50" w:rsidRPr="007A3864" w:rsidRDefault="00561E50" w:rsidP="00785C3E">
            <w:pPr>
              <w:pStyle w:val="Default"/>
              <w:numPr>
                <w:ilvl w:val="0"/>
                <w:numId w:val="13"/>
              </w:numPr>
              <w:rPr>
                <w:sz w:val="21"/>
                <w:szCs w:val="21"/>
              </w:rPr>
            </w:pPr>
            <w:r w:rsidRPr="007A3864">
              <w:rPr>
                <w:sz w:val="21"/>
                <w:szCs w:val="21"/>
              </w:rPr>
              <w:t xml:space="preserve">Procedures and tools for evaluating training site (rotation) and residency program </w:t>
            </w:r>
          </w:p>
          <w:p w14:paraId="2456D2B0" w14:textId="21DBC076" w:rsidR="00561E50" w:rsidRPr="007A3864" w:rsidRDefault="00561E50" w:rsidP="00785C3E">
            <w:pPr>
              <w:pStyle w:val="Default"/>
              <w:numPr>
                <w:ilvl w:val="0"/>
                <w:numId w:val="13"/>
              </w:numPr>
              <w:rPr>
                <w:sz w:val="21"/>
                <w:szCs w:val="21"/>
              </w:rPr>
            </w:pPr>
            <w:r w:rsidRPr="007A3864">
              <w:rPr>
                <w:sz w:val="21"/>
                <w:szCs w:val="21"/>
              </w:rPr>
              <w:t xml:space="preserve">Procedures for assessment and evaluation of resident(s), preceptor(s), coordinator(s), director </w:t>
            </w:r>
          </w:p>
          <w:p w14:paraId="31DD5DB7" w14:textId="067345B7" w:rsidR="00561E50" w:rsidRPr="007A3864" w:rsidRDefault="00561E50" w:rsidP="00785C3E">
            <w:pPr>
              <w:pStyle w:val="Default"/>
              <w:numPr>
                <w:ilvl w:val="0"/>
                <w:numId w:val="13"/>
              </w:numPr>
              <w:rPr>
                <w:sz w:val="21"/>
                <w:szCs w:val="21"/>
              </w:rPr>
            </w:pPr>
            <w:r w:rsidRPr="007A3864">
              <w:rPr>
                <w:sz w:val="21"/>
                <w:szCs w:val="21"/>
              </w:rPr>
              <w:t xml:space="preserve">Processes for remedial action if deficiencies in the progress of the resident(s) are noted </w:t>
            </w:r>
          </w:p>
          <w:p w14:paraId="146113AB" w14:textId="0F461E9A" w:rsidR="00561E50" w:rsidRPr="007A3864" w:rsidRDefault="00561E50" w:rsidP="00785C3E">
            <w:pPr>
              <w:pStyle w:val="Default"/>
              <w:numPr>
                <w:ilvl w:val="0"/>
                <w:numId w:val="13"/>
              </w:numPr>
              <w:rPr>
                <w:sz w:val="21"/>
                <w:szCs w:val="21"/>
              </w:rPr>
            </w:pPr>
            <w:r w:rsidRPr="007A3864">
              <w:rPr>
                <w:sz w:val="21"/>
                <w:szCs w:val="21"/>
              </w:rPr>
              <w:t xml:space="preserve">Processes that shall be used to address all discrepancies in assessment </w:t>
            </w:r>
          </w:p>
          <w:p w14:paraId="56EAAC45" w14:textId="6A1CFA93" w:rsidR="00561E50" w:rsidRPr="00785C3E" w:rsidRDefault="00561E50" w:rsidP="00785C3E">
            <w:pPr>
              <w:pStyle w:val="ListParagraph"/>
              <w:numPr>
                <w:ilvl w:val="0"/>
                <w:numId w:val="12"/>
              </w:numPr>
              <w:rPr>
                <w:sz w:val="21"/>
                <w:szCs w:val="21"/>
              </w:rPr>
            </w:pPr>
            <w:r w:rsidRPr="00785C3E">
              <w:rPr>
                <w:sz w:val="21"/>
                <w:szCs w:val="21"/>
              </w:rPr>
              <w:t xml:space="preserve">Policies governing intimidation and harassment and other forms of abuse </w:t>
            </w:r>
          </w:p>
        </w:tc>
        <w:tc>
          <w:tcPr>
            <w:tcW w:w="3685" w:type="dxa"/>
            <w:tcBorders>
              <w:top w:val="single" w:sz="18" w:space="0" w:color="auto"/>
              <w:bottom w:val="single" w:sz="18" w:space="0" w:color="auto"/>
              <w:right w:val="single" w:sz="18" w:space="0" w:color="auto"/>
            </w:tcBorders>
          </w:tcPr>
          <w:p w14:paraId="03DFB12E" w14:textId="77777777" w:rsidR="00561E50" w:rsidRDefault="00561E50" w:rsidP="00B875A7"/>
        </w:tc>
      </w:tr>
      <w:tr w:rsidR="00611193" w14:paraId="1E145D94" w14:textId="77777777" w:rsidTr="25781353">
        <w:trPr>
          <w:trHeight w:val="632"/>
        </w:trPr>
        <w:tc>
          <w:tcPr>
            <w:tcW w:w="6215" w:type="dxa"/>
            <w:tcBorders>
              <w:top w:val="single" w:sz="18" w:space="0" w:color="auto"/>
              <w:left w:val="single" w:sz="18" w:space="0" w:color="auto"/>
            </w:tcBorders>
          </w:tcPr>
          <w:p w14:paraId="1957652D" w14:textId="0D1DD564" w:rsidR="00611193" w:rsidRPr="007A3864" w:rsidRDefault="00611193" w:rsidP="005445CB">
            <w:pPr>
              <w:pStyle w:val="Default"/>
              <w:rPr>
                <w:sz w:val="21"/>
                <w:szCs w:val="21"/>
              </w:rPr>
            </w:pPr>
            <w:r w:rsidRPr="63F90F45">
              <w:rPr>
                <w:sz w:val="21"/>
                <w:szCs w:val="21"/>
              </w:rPr>
              <w:t xml:space="preserve">9.  Residents (current year and previous accreditation cycle). </w:t>
            </w:r>
            <w:r w:rsidRPr="63F90F45">
              <w:rPr>
                <w:b/>
                <w:bCs/>
                <w:sz w:val="21"/>
                <w:szCs w:val="21"/>
              </w:rPr>
              <w:t xml:space="preserve">For </w:t>
            </w:r>
            <w:r w:rsidRPr="63F90F45">
              <w:rPr>
                <w:b/>
                <w:bCs/>
                <w:sz w:val="21"/>
                <w:szCs w:val="21"/>
                <w:u w:val="single"/>
              </w:rPr>
              <w:t>each</w:t>
            </w:r>
            <w:r w:rsidRPr="63F90F45">
              <w:rPr>
                <w:b/>
                <w:bCs/>
                <w:sz w:val="21"/>
                <w:szCs w:val="21"/>
              </w:rPr>
              <w:t xml:space="preserve"> resident</w:t>
            </w:r>
            <w:r w:rsidRPr="63F90F45">
              <w:rPr>
                <w:sz w:val="21"/>
                <w:szCs w:val="21"/>
              </w:rPr>
              <w:t>*</w:t>
            </w:r>
            <w:r w:rsidRPr="63F90F45">
              <w:rPr>
                <w:b/>
                <w:bCs/>
                <w:sz w:val="21"/>
                <w:szCs w:val="21"/>
              </w:rPr>
              <w:t xml:space="preserve">, please </w:t>
            </w:r>
            <w:r w:rsidR="4DE6F518" w:rsidRPr="63F90F45">
              <w:rPr>
                <w:b/>
                <w:bCs/>
                <w:sz w:val="21"/>
                <w:szCs w:val="21"/>
              </w:rPr>
              <w:t>generate a separate folder and include</w:t>
            </w:r>
            <w:r w:rsidR="005445CB">
              <w:rPr>
                <w:b/>
                <w:bCs/>
                <w:sz w:val="21"/>
                <w:szCs w:val="21"/>
              </w:rPr>
              <w:t>:</w:t>
            </w:r>
          </w:p>
        </w:tc>
        <w:tc>
          <w:tcPr>
            <w:tcW w:w="3685" w:type="dxa"/>
            <w:tcBorders>
              <w:top w:val="single" w:sz="18" w:space="0" w:color="auto"/>
              <w:right w:val="single" w:sz="18" w:space="0" w:color="auto"/>
            </w:tcBorders>
          </w:tcPr>
          <w:p w14:paraId="48D13CC0" w14:textId="579CCF0E" w:rsidR="00611193" w:rsidRPr="005445CB" w:rsidRDefault="005445CB" w:rsidP="0045090A">
            <w:r>
              <w:t xml:space="preserve">Please provide one folder link </w:t>
            </w:r>
            <w:r>
              <w:rPr>
                <w:b/>
                <w:bCs/>
              </w:rPr>
              <w:t>per resident.</w:t>
            </w:r>
            <w:r>
              <w:t xml:space="preserve"> (Each folder can include subfolders for 9.1, 9.2, 9.3, and 9.4).</w:t>
            </w:r>
          </w:p>
        </w:tc>
      </w:tr>
      <w:tr w:rsidR="63F90F45" w14:paraId="4CB5C565" w14:textId="77777777" w:rsidTr="25781353">
        <w:trPr>
          <w:trHeight w:val="2342"/>
        </w:trPr>
        <w:tc>
          <w:tcPr>
            <w:tcW w:w="6215" w:type="dxa"/>
            <w:tcBorders>
              <w:top w:val="single" w:sz="18" w:space="0" w:color="auto"/>
              <w:left w:val="single" w:sz="18" w:space="0" w:color="auto"/>
            </w:tcBorders>
          </w:tcPr>
          <w:p w14:paraId="12A5A1F4" w14:textId="294BD07B" w:rsidR="0042DFA4" w:rsidRDefault="0042DFA4" w:rsidP="005445CB">
            <w:pPr>
              <w:pStyle w:val="Default"/>
              <w:ind w:left="720"/>
              <w:rPr>
                <w:sz w:val="21"/>
                <w:szCs w:val="21"/>
              </w:rPr>
            </w:pPr>
            <w:r w:rsidRPr="63F90F45">
              <w:rPr>
                <w:sz w:val="21"/>
                <w:szCs w:val="21"/>
              </w:rPr>
              <w:t>9.1 Admissions and completion of the program</w:t>
            </w:r>
          </w:p>
          <w:p w14:paraId="79664764" w14:textId="77777777" w:rsidR="0042DFA4" w:rsidRDefault="0042DFA4" w:rsidP="63F90F45">
            <w:pPr>
              <w:pStyle w:val="Default"/>
              <w:numPr>
                <w:ilvl w:val="0"/>
                <w:numId w:val="16"/>
              </w:numPr>
              <w:rPr>
                <w:sz w:val="21"/>
                <w:szCs w:val="21"/>
              </w:rPr>
            </w:pPr>
            <w:r w:rsidRPr="63F90F45">
              <w:rPr>
                <w:sz w:val="21"/>
                <w:szCs w:val="21"/>
              </w:rPr>
              <w:t>Program’s letter of offer</w:t>
            </w:r>
          </w:p>
          <w:p w14:paraId="0F0B2D8F" w14:textId="77777777" w:rsidR="0042DFA4" w:rsidRDefault="0042DFA4" w:rsidP="63F90F45">
            <w:pPr>
              <w:pStyle w:val="Default"/>
              <w:numPr>
                <w:ilvl w:val="0"/>
                <w:numId w:val="16"/>
              </w:numPr>
              <w:rPr>
                <w:sz w:val="21"/>
                <w:szCs w:val="21"/>
              </w:rPr>
            </w:pPr>
            <w:r w:rsidRPr="63F90F45">
              <w:rPr>
                <w:sz w:val="21"/>
                <w:szCs w:val="21"/>
              </w:rPr>
              <w:t>Resident’s confirmation of acceptance letter</w:t>
            </w:r>
          </w:p>
          <w:p w14:paraId="59069B07" w14:textId="77777777" w:rsidR="0042DFA4" w:rsidRDefault="0042DFA4" w:rsidP="63F90F45">
            <w:pPr>
              <w:pStyle w:val="Default"/>
              <w:numPr>
                <w:ilvl w:val="0"/>
                <w:numId w:val="16"/>
              </w:numPr>
              <w:rPr>
                <w:sz w:val="21"/>
                <w:szCs w:val="21"/>
              </w:rPr>
            </w:pPr>
            <w:r w:rsidRPr="63F90F45">
              <w:rPr>
                <w:sz w:val="21"/>
                <w:szCs w:val="21"/>
              </w:rPr>
              <w:t>Prior learning assessment</w:t>
            </w:r>
          </w:p>
          <w:p w14:paraId="5ABA7743" w14:textId="77777777" w:rsidR="0042DFA4" w:rsidRDefault="0042DFA4" w:rsidP="63F90F45">
            <w:pPr>
              <w:pStyle w:val="Default"/>
              <w:numPr>
                <w:ilvl w:val="0"/>
                <w:numId w:val="16"/>
              </w:numPr>
              <w:rPr>
                <w:sz w:val="21"/>
                <w:szCs w:val="21"/>
              </w:rPr>
            </w:pPr>
            <w:r w:rsidRPr="63F90F45">
              <w:rPr>
                <w:sz w:val="21"/>
                <w:szCs w:val="21"/>
              </w:rPr>
              <w:t>Granting credit for prior learning / transfer of credit documents (if applicable)</w:t>
            </w:r>
          </w:p>
          <w:p w14:paraId="7F35FEDC" w14:textId="10BA04F0" w:rsidR="0042DFA4" w:rsidRDefault="0042DFA4" w:rsidP="63F90F45">
            <w:pPr>
              <w:pStyle w:val="Default"/>
              <w:numPr>
                <w:ilvl w:val="0"/>
                <w:numId w:val="16"/>
              </w:numPr>
              <w:rPr>
                <w:sz w:val="21"/>
                <w:szCs w:val="21"/>
              </w:rPr>
            </w:pPr>
            <w:r w:rsidRPr="63F90F45">
              <w:rPr>
                <w:sz w:val="21"/>
                <w:szCs w:val="21"/>
              </w:rPr>
              <w:t>Confirmation of completion of the program (e.g., copies of letters, transcripts, and/or certificates)</w:t>
            </w:r>
          </w:p>
          <w:p w14:paraId="4AF40AD5" w14:textId="43471D3F" w:rsidR="63F90F45" w:rsidRDefault="63F90F45" w:rsidP="63F90F45">
            <w:pPr>
              <w:pStyle w:val="Default"/>
              <w:rPr>
                <w:sz w:val="21"/>
                <w:szCs w:val="21"/>
              </w:rPr>
            </w:pPr>
          </w:p>
        </w:tc>
        <w:tc>
          <w:tcPr>
            <w:tcW w:w="3685" w:type="dxa"/>
            <w:tcBorders>
              <w:top w:val="single" w:sz="18" w:space="0" w:color="auto"/>
              <w:right w:val="single" w:sz="18" w:space="0" w:color="auto"/>
            </w:tcBorders>
          </w:tcPr>
          <w:p w14:paraId="180A2F85" w14:textId="6659B161" w:rsidR="63F90F45" w:rsidRDefault="63F90F45" w:rsidP="63F90F45"/>
        </w:tc>
      </w:tr>
      <w:tr w:rsidR="0045090A" w14:paraId="65D174A9" w14:textId="77777777" w:rsidTr="25781353">
        <w:tc>
          <w:tcPr>
            <w:tcW w:w="6215" w:type="dxa"/>
            <w:tcBorders>
              <w:left w:val="single" w:sz="18" w:space="0" w:color="auto"/>
            </w:tcBorders>
          </w:tcPr>
          <w:p w14:paraId="2F756398" w14:textId="7C72DF9E" w:rsidR="0045090A" w:rsidRPr="008C53A4" w:rsidRDefault="3B37640E" w:rsidP="005445CB">
            <w:pPr>
              <w:ind w:left="720"/>
              <w:rPr>
                <w:sz w:val="21"/>
                <w:szCs w:val="21"/>
              </w:rPr>
            </w:pPr>
            <w:r w:rsidRPr="63F90F45">
              <w:rPr>
                <w:sz w:val="21"/>
                <w:szCs w:val="21"/>
              </w:rPr>
              <w:t xml:space="preserve">9.2 </w:t>
            </w:r>
            <w:r w:rsidR="0045090A" w:rsidRPr="63F90F45">
              <w:rPr>
                <w:sz w:val="21"/>
                <w:szCs w:val="21"/>
              </w:rPr>
              <w:t>Completed evaluations / assessments (organized by rotation). To include the following information:</w:t>
            </w:r>
          </w:p>
          <w:p w14:paraId="457A7CC9" w14:textId="77777777" w:rsidR="0045090A" w:rsidRPr="007F1F4C" w:rsidRDefault="0045090A" w:rsidP="0025425D">
            <w:pPr>
              <w:pStyle w:val="ListParagraph"/>
              <w:numPr>
                <w:ilvl w:val="0"/>
                <w:numId w:val="6"/>
              </w:numPr>
              <w:rPr>
                <w:sz w:val="21"/>
                <w:szCs w:val="21"/>
              </w:rPr>
            </w:pPr>
            <w:r w:rsidRPr="007F1F4C">
              <w:rPr>
                <w:sz w:val="21"/>
                <w:szCs w:val="21"/>
              </w:rPr>
              <w:t>Resident performance – self-assessment</w:t>
            </w:r>
          </w:p>
          <w:p w14:paraId="0711F833" w14:textId="77777777" w:rsidR="0045090A" w:rsidRPr="007F1F4C" w:rsidRDefault="0045090A" w:rsidP="0025425D">
            <w:pPr>
              <w:pStyle w:val="ListParagraph"/>
              <w:numPr>
                <w:ilvl w:val="0"/>
                <w:numId w:val="6"/>
              </w:numPr>
              <w:rPr>
                <w:sz w:val="21"/>
                <w:szCs w:val="21"/>
              </w:rPr>
            </w:pPr>
            <w:r w:rsidRPr="007F1F4C">
              <w:rPr>
                <w:sz w:val="21"/>
                <w:szCs w:val="21"/>
              </w:rPr>
              <w:t>Resident evaluation of preceptor</w:t>
            </w:r>
          </w:p>
          <w:p w14:paraId="576B7373" w14:textId="77777777" w:rsidR="0045090A" w:rsidRPr="007F1F4C" w:rsidRDefault="0045090A" w:rsidP="0025425D">
            <w:pPr>
              <w:pStyle w:val="ListParagraph"/>
              <w:numPr>
                <w:ilvl w:val="0"/>
                <w:numId w:val="6"/>
              </w:numPr>
              <w:rPr>
                <w:sz w:val="21"/>
                <w:szCs w:val="21"/>
              </w:rPr>
            </w:pPr>
            <w:r w:rsidRPr="007F1F4C">
              <w:rPr>
                <w:sz w:val="21"/>
                <w:szCs w:val="21"/>
              </w:rPr>
              <w:t>Resident evaluation of rotation</w:t>
            </w:r>
          </w:p>
          <w:p w14:paraId="31BAD644" w14:textId="77777777" w:rsidR="0079508D" w:rsidRDefault="0045090A" w:rsidP="0025425D">
            <w:pPr>
              <w:pStyle w:val="ListParagraph"/>
              <w:numPr>
                <w:ilvl w:val="0"/>
                <w:numId w:val="6"/>
              </w:numPr>
              <w:rPr>
                <w:sz w:val="21"/>
                <w:szCs w:val="21"/>
              </w:rPr>
            </w:pPr>
            <w:r w:rsidRPr="007F1F4C">
              <w:rPr>
                <w:sz w:val="21"/>
                <w:szCs w:val="21"/>
              </w:rPr>
              <w:t>Preceptor assessment of resident</w:t>
            </w:r>
          </w:p>
          <w:p w14:paraId="192DE2C0" w14:textId="59807FFC" w:rsidR="0045090A" w:rsidRPr="0079508D" w:rsidRDefault="0045090A" w:rsidP="0025425D">
            <w:pPr>
              <w:pStyle w:val="ListParagraph"/>
              <w:numPr>
                <w:ilvl w:val="0"/>
                <w:numId w:val="6"/>
              </w:numPr>
              <w:rPr>
                <w:sz w:val="21"/>
                <w:szCs w:val="21"/>
              </w:rPr>
            </w:pPr>
            <w:r w:rsidRPr="0079508D">
              <w:rPr>
                <w:sz w:val="21"/>
                <w:szCs w:val="21"/>
              </w:rPr>
              <w:t>Projects, presentations, reports for publication, assessments/evaluations, etc.</w:t>
            </w:r>
          </w:p>
        </w:tc>
        <w:tc>
          <w:tcPr>
            <w:tcW w:w="3685" w:type="dxa"/>
            <w:tcBorders>
              <w:right w:val="single" w:sz="18" w:space="0" w:color="auto"/>
            </w:tcBorders>
          </w:tcPr>
          <w:p w14:paraId="10609F71" w14:textId="77777777" w:rsidR="0045090A" w:rsidRDefault="0045090A" w:rsidP="0045090A"/>
        </w:tc>
      </w:tr>
      <w:tr w:rsidR="0045090A" w14:paraId="41E83FD8" w14:textId="77777777" w:rsidTr="25781353">
        <w:tc>
          <w:tcPr>
            <w:tcW w:w="6215" w:type="dxa"/>
            <w:tcBorders>
              <w:left w:val="single" w:sz="18" w:space="0" w:color="auto"/>
            </w:tcBorders>
          </w:tcPr>
          <w:p w14:paraId="05E62042" w14:textId="251E689C" w:rsidR="0045090A" w:rsidRPr="0025425D" w:rsidRDefault="0F420FE7" w:rsidP="005445CB">
            <w:pPr>
              <w:ind w:left="720"/>
              <w:rPr>
                <w:sz w:val="21"/>
                <w:szCs w:val="21"/>
              </w:rPr>
            </w:pPr>
            <w:r w:rsidRPr="63F90F45">
              <w:rPr>
                <w:sz w:val="21"/>
                <w:szCs w:val="21"/>
              </w:rPr>
              <w:t xml:space="preserve">9.3 </w:t>
            </w:r>
            <w:r w:rsidR="0045090A" w:rsidRPr="63F90F45">
              <w:rPr>
                <w:sz w:val="21"/>
                <w:szCs w:val="21"/>
              </w:rPr>
              <w:t>Completed non-rotation-specific evaluations / assessments</w:t>
            </w:r>
          </w:p>
          <w:p w14:paraId="68702ED5" w14:textId="77777777" w:rsidR="0045090A" w:rsidRPr="007F1F4C" w:rsidRDefault="0045090A" w:rsidP="0025425D">
            <w:pPr>
              <w:pStyle w:val="ListParagraph"/>
              <w:numPr>
                <w:ilvl w:val="0"/>
                <w:numId w:val="8"/>
              </w:numPr>
              <w:rPr>
                <w:sz w:val="21"/>
                <w:szCs w:val="21"/>
              </w:rPr>
            </w:pPr>
            <w:r w:rsidRPr="007F1F4C">
              <w:rPr>
                <w:sz w:val="21"/>
                <w:szCs w:val="21"/>
              </w:rPr>
              <w:t>Resident evaluation of coordinator</w:t>
            </w:r>
          </w:p>
          <w:p w14:paraId="32C19DB0" w14:textId="77777777" w:rsidR="0045090A" w:rsidRPr="007F1F4C" w:rsidRDefault="0045090A" w:rsidP="0025425D">
            <w:pPr>
              <w:pStyle w:val="ListParagraph"/>
              <w:numPr>
                <w:ilvl w:val="0"/>
                <w:numId w:val="8"/>
              </w:numPr>
              <w:rPr>
                <w:sz w:val="21"/>
                <w:szCs w:val="21"/>
              </w:rPr>
            </w:pPr>
            <w:r w:rsidRPr="007F1F4C">
              <w:rPr>
                <w:sz w:val="21"/>
                <w:szCs w:val="21"/>
              </w:rPr>
              <w:t>Resident evaluation of program director</w:t>
            </w:r>
          </w:p>
          <w:p w14:paraId="5574270C" w14:textId="26DCC965" w:rsidR="0045090A" w:rsidRPr="00B767BF" w:rsidRDefault="0045090A" w:rsidP="0025425D">
            <w:pPr>
              <w:pStyle w:val="ListParagraph"/>
              <w:numPr>
                <w:ilvl w:val="0"/>
                <w:numId w:val="8"/>
              </w:numPr>
              <w:rPr>
                <w:sz w:val="21"/>
                <w:szCs w:val="21"/>
              </w:rPr>
            </w:pPr>
            <w:r w:rsidRPr="63F90F45">
              <w:rPr>
                <w:sz w:val="21"/>
                <w:szCs w:val="21"/>
              </w:rPr>
              <w:t>Resident evaluation of residency program</w:t>
            </w:r>
          </w:p>
          <w:p w14:paraId="162167B4" w14:textId="5D9424AF" w:rsidR="0045090A" w:rsidRPr="00B767BF" w:rsidRDefault="23A6A2A8" w:rsidP="0025425D">
            <w:pPr>
              <w:pStyle w:val="ListParagraph"/>
              <w:numPr>
                <w:ilvl w:val="0"/>
                <w:numId w:val="8"/>
              </w:numPr>
              <w:rPr>
                <w:sz w:val="21"/>
                <w:szCs w:val="21"/>
              </w:rPr>
            </w:pPr>
            <w:r w:rsidRPr="63F90F45">
              <w:rPr>
                <w:sz w:val="21"/>
                <w:szCs w:val="21"/>
              </w:rPr>
              <w:t>Quarterly or summative assessments (documenting resident’s progress throughout the program)</w:t>
            </w:r>
          </w:p>
        </w:tc>
        <w:tc>
          <w:tcPr>
            <w:tcW w:w="3685" w:type="dxa"/>
            <w:tcBorders>
              <w:right w:val="single" w:sz="18" w:space="0" w:color="auto"/>
            </w:tcBorders>
          </w:tcPr>
          <w:p w14:paraId="1A942F53" w14:textId="77777777" w:rsidR="0045090A" w:rsidRDefault="0045090A" w:rsidP="0045090A"/>
        </w:tc>
      </w:tr>
      <w:tr w:rsidR="0045090A" w14:paraId="2D0049A1" w14:textId="77777777" w:rsidTr="25781353">
        <w:tc>
          <w:tcPr>
            <w:tcW w:w="6215" w:type="dxa"/>
            <w:tcBorders>
              <w:left w:val="single" w:sz="18" w:space="0" w:color="auto"/>
              <w:bottom w:val="single" w:sz="18" w:space="0" w:color="auto"/>
            </w:tcBorders>
          </w:tcPr>
          <w:p w14:paraId="7F157924" w14:textId="7D272DF9" w:rsidR="0045090A" w:rsidRDefault="68E56C81" w:rsidP="005445CB">
            <w:pPr>
              <w:ind w:left="720"/>
              <w:rPr>
                <w:sz w:val="21"/>
                <w:szCs w:val="21"/>
              </w:rPr>
            </w:pPr>
            <w:r w:rsidRPr="63F90F45">
              <w:rPr>
                <w:sz w:val="21"/>
                <w:szCs w:val="21"/>
              </w:rPr>
              <w:t>9.</w:t>
            </w:r>
            <w:r w:rsidR="6B0E3728" w:rsidRPr="63F90F45">
              <w:rPr>
                <w:sz w:val="21"/>
                <w:szCs w:val="21"/>
              </w:rPr>
              <w:t>4</w:t>
            </w:r>
            <w:r w:rsidRPr="63F90F45">
              <w:rPr>
                <w:sz w:val="21"/>
                <w:szCs w:val="21"/>
              </w:rPr>
              <w:t xml:space="preserve"> </w:t>
            </w:r>
            <w:r w:rsidR="0045090A" w:rsidRPr="63F90F45">
              <w:rPr>
                <w:sz w:val="21"/>
                <w:szCs w:val="21"/>
              </w:rPr>
              <w:t>Resident’s Learning Portfolio</w:t>
            </w:r>
          </w:p>
          <w:p w14:paraId="75D565DB" w14:textId="77777777" w:rsidR="0045090A" w:rsidRPr="007F1F4C" w:rsidRDefault="0045090A" w:rsidP="00B767BF">
            <w:pPr>
              <w:pStyle w:val="ListParagraph"/>
              <w:numPr>
                <w:ilvl w:val="1"/>
                <w:numId w:val="10"/>
              </w:numPr>
              <w:ind w:left="1800"/>
              <w:rPr>
                <w:sz w:val="21"/>
                <w:szCs w:val="21"/>
              </w:rPr>
            </w:pPr>
            <w:r w:rsidRPr="007F1F4C">
              <w:rPr>
                <w:sz w:val="21"/>
                <w:szCs w:val="21"/>
              </w:rPr>
              <w:t>Written learning plan</w:t>
            </w:r>
          </w:p>
          <w:p w14:paraId="2F33EA7E" w14:textId="77777777" w:rsidR="00B767BF" w:rsidRDefault="0045090A" w:rsidP="00B767BF">
            <w:pPr>
              <w:pStyle w:val="ListParagraph"/>
              <w:numPr>
                <w:ilvl w:val="1"/>
                <w:numId w:val="10"/>
              </w:numPr>
              <w:ind w:left="1800"/>
              <w:rPr>
                <w:sz w:val="21"/>
                <w:szCs w:val="21"/>
              </w:rPr>
            </w:pPr>
            <w:r w:rsidRPr="007F1F4C">
              <w:rPr>
                <w:sz w:val="21"/>
                <w:szCs w:val="21"/>
              </w:rPr>
              <w:t>All presentations, journal club, written material, clinical activities, etc. including self-assessments of all activities</w:t>
            </w:r>
          </w:p>
          <w:p w14:paraId="00C860D1" w14:textId="517FCEF8" w:rsidR="0045090A" w:rsidRPr="00B767BF" w:rsidRDefault="0045090A" w:rsidP="00B767BF">
            <w:pPr>
              <w:pStyle w:val="ListParagraph"/>
              <w:numPr>
                <w:ilvl w:val="1"/>
                <w:numId w:val="10"/>
              </w:numPr>
              <w:ind w:left="1800"/>
              <w:rPr>
                <w:sz w:val="21"/>
                <w:szCs w:val="21"/>
              </w:rPr>
            </w:pPr>
            <w:r w:rsidRPr="00B767BF">
              <w:rPr>
                <w:sz w:val="21"/>
                <w:szCs w:val="21"/>
              </w:rPr>
              <w:t>Awards</w:t>
            </w:r>
          </w:p>
        </w:tc>
        <w:tc>
          <w:tcPr>
            <w:tcW w:w="3685" w:type="dxa"/>
            <w:tcBorders>
              <w:bottom w:val="single" w:sz="18" w:space="0" w:color="auto"/>
              <w:right w:val="single" w:sz="18" w:space="0" w:color="auto"/>
            </w:tcBorders>
          </w:tcPr>
          <w:p w14:paraId="2236D7C4" w14:textId="77777777" w:rsidR="0045090A" w:rsidRDefault="0045090A" w:rsidP="0045090A"/>
        </w:tc>
      </w:tr>
      <w:tr w:rsidR="0045090A" w14:paraId="1A334CFE" w14:textId="77777777" w:rsidTr="25781353">
        <w:tc>
          <w:tcPr>
            <w:tcW w:w="6215" w:type="dxa"/>
            <w:tcBorders>
              <w:top w:val="single" w:sz="18" w:space="0" w:color="auto"/>
              <w:left w:val="single" w:sz="18" w:space="0" w:color="auto"/>
              <w:bottom w:val="single" w:sz="18" w:space="0" w:color="auto"/>
            </w:tcBorders>
          </w:tcPr>
          <w:p w14:paraId="7F718697" w14:textId="76E08C59" w:rsidR="0045090A" w:rsidRPr="00195A15" w:rsidRDefault="0025425D" w:rsidP="00B767BF">
            <w:pPr>
              <w:rPr>
                <w:i/>
                <w:iCs/>
                <w:sz w:val="21"/>
                <w:szCs w:val="21"/>
              </w:rPr>
            </w:pPr>
            <w:r>
              <w:rPr>
                <w:sz w:val="21"/>
                <w:szCs w:val="21"/>
              </w:rPr>
              <w:t xml:space="preserve">10. </w:t>
            </w:r>
            <w:r w:rsidR="0045090A">
              <w:rPr>
                <w:sz w:val="21"/>
                <w:szCs w:val="21"/>
              </w:rPr>
              <w:t>Preceptors</w:t>
            </w:r>
            <w:r w:rsidR="005F6FD4" w:rsidRPr="00195A15">
              <w:rPr>
                <w:i/>
                <w:iCs/>
                <w:sz w:val="21"/>
                <w:szCs w:val="21"/>
              </w:rPr>
              <w:t xml:space="preserve"> (please provide a master list of all active preceptors, including their practice area and what rotations they offer/precept)</w:t>
            </w:r>
          </w:p>
        </w:tc>
        <w:tc>
          <w:tcPr>
            <w:tcW w:w="3685" w:type="dxa"/>
            <w:tcBorders>
              <w:top w:val="single" w:sz="18" w:space="0" w:color="auto"/>
              <w:bottom w:val="single" w:sz="18" w:space="0" w:color="auto"/>
              <w:right w:val="single" w:sz="18" w:space="0" w:color="auto"/>
            </w:tcBorders>
          </w:tcPr>
          <w:p w14:paraId="414549F7" w14:textId="77777777" w:rsidR="0045090A" w:rsidRDefault="0045090A" w:rsidP="0045090A"/>
        </w:tc>
      </w:tr>
      <w:tr w:rsidR="0045090A" w14:paraId="11701C06" w14:textId="77777777" w:rsidTr="25781353">
        <w:trPr>
          <w:trHeight w:val="250"/>
        </w:trPr>
        <w:tc>
          <w:tcPr>
            <w:tcW w:w="6215" w:type="dxa"/>
            <w:tcBorders>
              <w:top w:val="single" w:sz="18" w:space="0" w:color="auto"/>
              <w:left w:val="single" w:sz="18" w:space="0" w:color="auto"/>
              <w:bottom w:val="single" w:sz="18" w:space="0" w:color="auto"/>
            </w:tcBorders>
          </w:tcPr>
          <w:p w14:paraId="073E3BA0" w14:textId="15818888" w:rsidR="0045090A" w:rsidRDefault="0025425D" w:rsidP="005445CB">
            <w:pPr>
              <w:ind w:left="720"/>
              <w:rPr>
                <w:sz w:val="21"/>
                <w:szCs w:val="21"/>
              </w:rPr>
            </w:pPr>
            <w:r>
              <w:rPr>
                <w:sz w:val="21"/>
                <w:szCs w:val="21"/>
              </w:rPr>
              <w:t xml:space="preserve">10.1 </w:t>
            </w:r>
            <w:r w:rsidR="0045090A">
              <w:rPr>
                <w:sz w:val="21"/>
                <w:szCs w:val="21"/>
              </w:rPr>
              <w:t>Self-Assessment</w:t>
            </w:r>
          </w:p>
        </w:tc>
        <w:tc>
          <w:tcPr>
            <w:tcW w:w="3685" w:type="dxa"/>
            <w:tcBorders>
              <w:top w:val="single" w:sz="18" w:space="0" w:color="auto"/>
              <w:bottom w:val="single" w:sz="18" w:space="0" w:color="auto"/>
              <w:right w:val="single" w:sz="18" w:space="0" w:color="auto"/>
            </w:tcBorders>
          </w:tcPr>
          <w:p w14:paraId="7982291C" w14:textId="77777777" w:rsidR="0045090A" w:rsidRDefault="0045090A" w:rsidP="0045090A"/>
        </w:tc>
      </w:tr>
      <w:tr w:rsidR="0045090A" w14:paraId="2F101D1B" w14:textId="77777777" w:rsidTr="25781353">
        <w:tc>
          <w:tcPr>
            <w:tcW w:w="6215" w:type="dxa"/>
            <w:tcBorders>
              <w:top w:val="single" w:sz="18" w:space="0" w:color="auto"/>
              <w:left w:val="single" w:sz="18" w:space="0" w:color="auto"/>
              <w:bottom w:val="single" w:sz="18" w:space="0" w:color="auto"/>
            </w:tcBorders>
          </w:tcPr>
          <w:p w14:paraId="307F7D28" w14:textId="5AED9983" w:rsidR="0045090A" w:rsidRDefault="0025425D" w:rsidP="0045090A">
            <w:pPr>
              <w:rPr>
                <w:sz w:val="21"/>
                <w:szCs w:val="21"/>
              </w:rPr>
            </w:pPr>
            <w:r>
              <w:rPr>
                <w:sz w:val="21"/>
                <w:szCs w:val="21"/>
              </w:rPr>
              <w:lastRenderedPageBreak/>
              <w:t xml:space="preserve">11. </w:t>
            </w:r>
            <w:r w:rsidR="0045090A" w:rsidRPr="007F1F4C">
              <w:rPr>
                <w:sz w:val="21"/>
                <w:szCs w:val="21"/>
              </w:rPr>
              <w:t>Record of successful and unsuccessful resident(s) (for entire history of the program)</w:t>
            </w:r>
          </w:p>
        </w:tc>
        <w:tc>
          <w:tcPr>
            <w:tcW w:w="3685" w:type="dxa"/>
            <w:tcBorders>
              <w:top w:val="single" w:sz="18" w:space="0" w:color="auto"/>
              <w:bottom w:val="single" w:sz="18" w:space="0" w:color="auto"/>
              <w:right w:val="single" w:sz="18" w:space="0" w:color="auto"/>
            </w:tcBorders>
          </w:tcPr>
          <w:p w14:paraId="25F12473" w14:textId="77777777" w:rsidR="0045090A" w:rsidRDefault="0045090A" w:rsidP="0045090A"/>
        </w:tc>
      </w:tr>
      <w:tr w:rsidR="0045090A" w14:paraId="110D68A5" w14:textId="77777777" w:rsidTr="25781353">
        <w:tc>
          <w:tcPr>
            <w:tcW w:w="6215" w:type="dxa"/>
            <w:tcBorders>
              <w:top w:val="single" w:sz="18" w:space="0" w:color="auto"/>
              <w:left w:val="single" w:sz="18" w:space="0" w:color="auto"/>
              <w:bottom w:val="single" w:sz="18" w:space="0" w:color="auto"/>
            </w:tcBorders>
          </w:tcPr>
          <w:p w14:paraId="4A74454D" w14:textId="0C6EE174" w:rsidR="0045090A" w:rsidRDefault="25781353" w:rsidP="0045090A">
            <w:pPr>
              <w:rPr>
                <w:sz w:val="21"/>
                <w:szCs w:val="21"/>
              </w:rPr>
            </w:pPr>
            <w:r w:rsidRPr="25781353">
              <w:rPr>
                <w:sz w:val="21"/>
                <w:szCs w:val="21"/>
              </w:rPr>
              <w:t>12. List of residents to whom ACPR was granted (for entire history of the program)</w:t>
            </w:r>
          </w:p>
          <w:p w14:paraId="0D185C25" w14:textId="77777777" w:rsidR="0045090A" w:rsidRDefault="0045090A" w:rsidP="0045090A">
            <w:pPr>
              <w:rPr>
                <w:sz w:val="21"/>
                <w:szCs w:val="21"/>
              </w:rPr>
            </w:pPr>
          </w:p>
        </w:tc>
        <w:tc>
          <w:tcPr>
            <w:tcW w:w="3685" w:type="dxa"/>
            <w:tcBorders>
              <w:top w:val="single" w:sz="18" w:space="0" w:color="auto"/>
              <w:bottom w:val="single" w:sz="18" w:space="0" w:color="auto"/>
              <w:right w:val="single" w:sz="18" w:space="0" w:color="auto"/>
            </w:tcBorders>
          </w:tcPr>
          <w:p w14:paraId="7A93BED8" w14:textId="77777777" w:rsidR="0045090A" w:rsidRDefault="0045090A" w:rsidP="0045090A"/>
        </w:tc>
      </w:tr>
    </w:tbl>
    <w:p w14:paraId="600F7A07" w14:textId="4A5B1D37" w:rsidR="0045090A" w:rsidRDefault="0045090A"/>
    <w:p w14:paraId="2C8926BC" w14:textId="194A245F" w:rsidR="007F1F4C" w:rsidRDefault="00785C3E" w:rsidP="00C53110">
      <w:pPr>
        <w:jc w:val="center"/>
      </w:pPr>
      <w:r w:rsidRPr="06B91C06">
        <w:rPr>
          <w:i/>
          <w:iCs/>
          <w:sz w:val="16"/>
          <w:szCs w:val="16"/>
        </w:rPr>
        <w:t>*Note - For programs with greater than 4 residents per year, the surveyors</w:t>
      </w:r>
      <w:r w:rsidR="00977426">
        <w:rPr>
          <w:i/>
          <w:iCs/>
          <w:sz w:val="16"/>
          <w:szCs w:val="16"/>
        </w:rPr>
        <w:t xml:space="preserve"> shall </w:t>
      </w:r>
      <w:r w:rsidRPr="06B91C06">
        <w:rPr>
          <w:i/>
          <w:iCs/>
          <w:sz w:val="16"/>
          <w:szCs w:val="16"/>
        </w:rPr>
        <w:t>indicate how many and which residents’ records to provide.</w:t>
      </w:r>
    </w:p>
    <w:p w14:paraId="60847836" w14:textId="77777777" w:rsidR="00AC131D" w:rsidRPr="00AC131D" w:rsidRDefault="00AC131D" w:rsidP="007F1F4C">
      <w:pPr>
        <w:rPr>
          <w:b/>
          <w:bCs/>
          <w:sz w:val="16"/>
          <w:szCs w:val="16"/>
        </w:rPr>
      </w:pPr>
    </w:p>
    <w:p w14:paraId="1EA0822C" w14:textId="21D63812" w:rsidR="007F1F4C" w:rsidRDefault="00C53110" w:rsidP="007F1F4C">
      <w:pPr>
        <w:rPr>
          <w:sz w:val="28"/>
          <w:szCs w:val="28"/>
        </w:rPr>
      </w:pPr>
      <w:r>
        <w:rPr>
          <w:b/>
          <w:bCs/>
          <w:sz w:val="28"/>
          <w:szCs w:val="28"/>
        </w:rPr>
        <w:t xml:space="preserve">Additional </w:t>
      </w:r>
      <w:r w:rsidR="0020661A">
        <w:rPr>
          <w:b/>
          <w:bCs/>
          <w:sz w:val="28"/>
          <w:szCs w:val="28"/>
        </w:rPr>
        <w:t>Documents that will be</w:t>
      </w:r>
      <w:r w:rsidR="00195A15">
        <w:rPr>
          <w:b/>
          <w:bCs/>
          <w:sz w:val="28"/>
          <w:szCs w:val="28"/>
        </w:rPr>
        <w:t xml:space="preserve"> </w:t>
      </w:r>
      <w:r w:rsidR="006D0F28">
        <w:rPr>
          <w:b/>
          <w:bCs/>
          <w:sz w:val="28"/>
          <w:szCs w:val="28"/>
        </w:rPr>
        <w:t>Consulted</w:t>
      </w:r>
      <w:r w:rsidR="0020661A">
        <w:rPr>
          <w:b/>
          <w:bCs/>
          <w:sz w:val="28"/>
          <w:szCs w:val="28"/>
        </w:rPr>
        <w:t xml:space="preserve"> On-Site</w:t>
      </w:r>
    </w:p>
    <w:p w14:paraId="58D85235" w14:textId="5D2FC21C" w:rsidR="001968EB" w:rsidRDefault="001968EB" w:rsidP="001968EB">
      <w:pPr>
        <w:pStyle w:val="ListParagraph"/>
        <w:numPr>
          <w:ilvl w:val="0"/>
          <w:numId w:val="11"/>
        </w:numPr>
      </w:pPr>
      <w:r>
        <w:t xml:space="preserve">Current pharmacy policy manual </w:t>
      </w:r>
    </w:p>
    <w:p w14:paraId="55765502" w14:textId="0C36814B" w:rsidR="0020661A" w:rsidRPr="0020661A" w:rsidRDefault="001968EB" w:rsidP="001968EB">
      <w:pPr>
        <w:pStyle w:val="ListParagraph"/>
        <w:numPr>
          <w:ilvl w:val="0"/>
          <w:numId w:val="11"/>
        </w:numPr>
      </w:pPr>
      <w:r>
        <w:t>Examples of document</w:t>
      </w:r>
      <w:r w:rsidR="26454EA8">
        <w:t>ation</w:t>
      </w:r>
      <w:r>
        <w:t xml:space="preserve"> in the patient’s </w:t>
      </w:r>
      <w:r w:rsidR="3F566074">
        <w:t xml:space="preserve">health </w:t>
      </w:r>
      <w:r>
        <w:t>record</w:t>
      </w:r>
    </w:p>
    <w:sectPr w:rsidR="0020661A" w:rsidRPr="0020661A" w:rsidSect="000A4ED4">
      <w:head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A054" w14:textId="77777777" w:rsidR="00E50DB6" w:rsidRDefault="00E50DB6" w:rsidP="0087353B">
      <w:pPr>
        <w:spacing w:after="0" w:line="240" w:lineRule="auto"/>
      </w:pPr>
      <w:r>
        <w:separator/>
      </w:r>
    </w:p>
  </w:endnote>
  <w:endnote w:type="continuationSeparator" w:id="0">
    <w:p w14:paraId="74380C49" w14:textId="77777777" w:rsidR="00E50DB6" w:rsidRDefault="00E50DB6" w:rsidP="0087353B">
      <w:pPr>
        <w:spacing w:after="0" w:line="240" w:lineRule="auto"/>
      </w:pPr>
      <w:r>
        <w:continuationSeparator/>
      </w:r>
    </w:p>
  </w:endnote>
  <w:endnote w:type="continuationNotice" w:id="1">
    <w:p w14:paraId="13895BDA" w14:textId="77777777" w:rsidR="00E50DB6" w:rsidRDefault="00E50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BC09" w14:textId="77777777" w:rsidR="00E50DB6" w:rsidRDefault="00E50DB6" w:rsidP="0087353B">
      <w:pPr>
        <w:spacing w:after="0" w:line="240" w:lineRule="auto"/>
      </w:pPr>
      <w:r>
        <w:separator/>
      </w:r>
    </w:p>
  </w:footnote>
  <w:footnote w:type="continuationSeparator" w:id="0">
    <w:p w14:paraId="337CDC3D" w14:textId="77777777" w:rsidR="00E50DB6" w:rsidRDefault="00E50DB6" w:rsidP="0087353B">
      <w:pPr>
        <w:spacing w:after="0" w:line="240" w:lineRule="auto"/>
      </w:pPr>
      <w:r>
        <w:continuationSeparator/>
      </w:r>
    </w:p>
  </w:footnote>
  <w:footnote w:type="continuationNotice" w:id="1">
    <w:p w14:paraId="763B47C5" w14:textId="77777777" w:rsidR="00E50DB6" w:rsidRDefault="00E50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1D6B" w14:textId="1E8A8759" w:rsidR="0087353B" w:rsidRDefault="0087353B" w:rsidP="0087353B">
    <w:pPr>
      <w:pStyle w:val="Header"/>
      <w:jc w:val="center"/>
    </w:pPr>
    <w:r>
      <w:rPr>
        <w:noProof/>
      </w:rPr>
      <w:drawing>
        <wp:inline distT="0" distB="0" distL="0" distR="0" wp14:anchorId="4377152F" wp14:editId="63966B0B">
          <wp:extent cx="4572000" cy="585216"/>
          <wp:effectExtent l="0" t="0" r="0" b="5715"/>
          <wp:docPr id="1" name="Picture 1"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0" cy="585216"/>
                  </a:xfrm>
                  <a:prstGeom prst="rect">
                    <a:avLst/>
                  </a:prstGeom>
                </pic:spPr>
              </pic:pic>
            </a:graphicData>
          </a:graphic>
        </wp:inline>
      </w:drawing>
    </w:r>
  </w:p>
  <w:p w14:paraId="56C8F889" w14:textId="77777777" w:rsidR="00AC131D" w:rsidRDefault="00AC131D" w:rsidP="008735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402"/>
    <w:multiLevelType w:val="hybridMultilevel"/>
    <w:tmpl w:val="9A02EABA"/>
    <w:lvl w:ilvl="0" w:tplc="A9ACC17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B584C"/>
    <w:multiLevelType w:val="hybridMultilevel"/>
    <w:tmpl w:val="4992BF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2A33573"/>
    <w:multiLevelType w:val="multilevel"/>
    <w:tmpl w:val="9192F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D461FB"/>
    <w:multiLevelType w:val="multilevel"/>
    <w:tmpl w:val="9192F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D1122A"/>
    <w:multiLevelType w:val="hybridMultilevel"/>
    <w:tmpl w:val="1C0C3B40"/>
    <w:lvl w:ilvl="0" w:tplc="A9ACC17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9E443C"/>
    <w:multiLevelType w:val="hybridMultilevel"/>
    <w:tmpl w:val="E320FD8E"/>
    <w:lvl w:ilvl="0" w:tplc="EF088A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FA1DBB"/>
    <w:multiLevelType w:val="multilevel"/>
    <w:tmpl w:val="9192FD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7B283F"/>
    <w:multiLevelType w:val="hybridMultilevel"/>
    <w:tmpl w:val="7F0C90C0"/>
    <w:lvl w:ilvl="0" w:tplc="A9ACC170">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47D2D97"/>
    <w:multiLevelType w:val="hybridMultilevel"/>
    <w:tmpl w:val="89D8C8E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A392105"/>
    <w:multiLevelType w:val="hybridMultilevel"/>
    <w:tmpl w:val="E1E6C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F24DD0"/>
    <w:multiLevelType w:val="hybridMultilevel"/>
    <w:tmpl w:val="C5909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EE104A"/>
    <w:multiLevelType w:val="hybridMultilevel"/>
    <w:tmpl w:val="27764846"/>
    <w:lvl w:ilvl="0" w:tplc="CD4A44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AD7835"/>
    <w:multiLevelType w:val="multilevel"/>
    <w:tmpl w:val="9192F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833ED8"/>
    <w:multiLevelType w:val="hybridMultilevel"/>
    <w:tmpl w:val="41A4A40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2633AB2"/>
    <w:multiLevelType w:val="multilevel"/>
    <w:tmpl w:val="9192F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7CDB8C"/>
    <w:multiLevelType w:val="hybridMultilevel"/>
    <w:tmpl w:val="1CC4EFDE"/>
    <w:lvl w:ilvl="0" w:tplc="9EAA87D2">
      <w:start w:val="1"/>
      <w:numFmt w:val="decimal"/>
      <w:lvlText w:val="%1."/>
      <w:lvlJc w:val="left"/>
      <w:pPr>
        <w:ind w:left="360" w:hanging="360"/>
      </w:pPr>
    </w:lvl>
    <w:lvl w:ilvl="1" w:tplc="EC7AB6B0">
      <w:start w:val="1"/>
      <w:numFmt w:val="lowerLetter"/>
      <w:lvlText w:val="%2."/>
      <w:lvlJc w:val="left"/>
      <w:pPr>
        <w:ind w:left="1080" w:hanging="360"/>
      </w:pPr>
    </w:lvl>
    <w:lvl w:ilvl="2" w:tplc="202214D0">
      <w:start w:val="1"/>
      <w:numFmt w:val="lowerRoman"/>
      <w:lvlText w:val="%3."/>
      <w:lvlJc w:val="right"/>
      <w:pPr>
        <w:ind w:left="1800" w:hanging="180"/>
      </w:pPr>
    </w:lvl>
    <w:lvl w:ilvl="3" w:tplc="C2B66540">
      <w:start w:val="1"/>
      <w:numFmt w:val="decimal"/>
      <w:lvlText w:val="%4."/>
      <w:lvlJc w:val="left"/>
      <w:pPr>
        <w:ind w:left="2520" w:hanging="360"/>
      </w:pPr>
    </w:lvl>
    <w:lvl w:ilvl="4" w:tplc="D3D8BF74">
      <w:start w:val="1"/>
      <w:numFmt w:val="lowerLetter"/>
      <w:lvlText w:val="%5."/>
      <w:lvlJc w:val="left"/>
      <w:pPr>
        <w:ind w:left="3240" w:hanging="360"/>
      </w:pPr>
    </w:lvl>
    <w:lvl w:ilvl="5" w:tplc="4E0A4CD0">
      <w:start w:val="1"/>
      <w:numFmt w:val="lowerRoman"/>
      <w:lvlText w:val="%6."/>
      <w:lvlJc w:val="right"/>
      <w:pPr>
        <w:ind w:left="3960" w:hanging="180"/>
      </w:pPr>
    </w:lvl>
    <w:lvl w:ilvl="6" w:tplc="3B12A960">
      <w:start w:val="1"/>
      <w:numFmt w:val="decimal"/>
      <w:lvlText w:val="%7."/>
      <w:lvlJc w:val="left"/>
      <w:pPr>
        <w:ind w:left="4680" w:hanging="360"/>
      </w:pPr>
    </w:lvl>
    <w:lvl w:ilvl="7" w:tplc="46EE86D8">
      <w:start w:val="1"/>
      <w:numFmt w:val="lowerLetter"/>
      <w:lvlText w:val="%8."/>
      <w:lvlJc w:val="left"/>
      <w:pPr>
        <w:ind w:left="5400" w:hanging="360"/>
      </w:pPr>
    </w:lvl>
    <w:lvl w:ilvl="8" w:tplc="A2A650C6">
      <w:start w:val="1"/>
      <w:numFmt w:val="lowerRoman"/>
      <w:lvlText w:val="%9."/>
      <w:lvlJc w:val="right"/>
      <w:pPr>
        <w:ind w:left="6120" w:hanging="180"/>
      </w:pPr>
    </w:lvl>
  </w:abstractNum>
  <w:num w:numId="1" w16cid:durableId="650793089">
    <w:abstractNumId w:val="15"/>
  </w:num>
  <w:num w:numId="2" w16cid:durableId="1616205347">
    <w:abstractNumId w:val="10"/>
  </w:num>
  <w:num w:numId="3" w16cid:durableId="472674293">
    <w:abstractNumId w:val="11"/>
  </w:num>
  <w:num w:numId="4" w16cid:durableId="1476533327">
    <w:abstractNumId w:val="2"/>
  </w:num>
  <w:num w:numId="5" w16cid:durableId="836920501">
    <w:abstractNumId w:val="3"/>
  </w:num>
  <w:num w:numId="6" w16cid:durableId="1992174398">
    <w:abstractNumId w:val="1"/>
  </w:num>
  <w:num w:numId="7" w16cid:durableId="2115592800">
    <w:abstractNumId w:val="14"/>
  </w:num>
  <w:num w:numId="8" w16cid:durableId="810560493">
    <w:abstractNumId w:val="13"/>
  </w:num>
  <w:num w:numId="9" w16cid:durableId="1729957917">
    <w:abstractNumId w:val="12"/>
  </w:num>
  <w:num w:numId="10" w16cid:durableId="1718896332">
    <w:abstractNumId w:val="8"/>
  </w:num>
  <w:num w:numId="11" w16cid:durableId="993797485">
    <w:abstractNumId w:val="5"/>
  </w:num>
  <w:num w:numId="12" w16cid:durableId="626814741">
    <w:abstractNumId w:val="9"/>
  </w:num>
  <w:num w:numId="13" w16cid:durableId="172112114">
    <w:abstractNumId w:val="0"/>
  </w:num>
  <w:num w:numId="14" w16cid:durableId="1727798027">
    <w:abstractNumId w:val="4"/>
  </w:num>
  <w:num w:numId="15" w16cid:durableId="1286884881">
    <w:abstractNumId w:val="6"/>
  </w:num>
  <w:num w:numId="16" w16cid:durableId="873076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97"/>
    <w:rsid w:val="000A4ED4"/>
    <w:rsid w:val="000C3FC3"/>
    <w:rsid w:val="0012631B"/>
    <w:rsid w:val="00165329"/>
    <w:rsid w:val="00195A15"/>
    <w:rsid w:val="001968EB"/>
    <w:rsid w:val="0020661A"/>
    <w:rsid w:val="00243C85"/>
    <w:rsid w:val="0025425D"/>
    <w:rsid w:val="00265A07"/>
    <w:rsid w:val="002B5829"/>
    <w:rsid w:val="00354996"/>
    <w:rsid w:val="003D18D9"/>
    <w:rsid w:val="003E72FC"/>
    <w:rsid w:val="0042DFA4"/>
    <w:rsid w:val="004352BE"/>
    <w:rsid w:val="0045090A"/>
    <w:rsid w:val="00460347"/>
    <w:rsid w:val="00490D8A"/>
    <w:rsid w:val="004C5720"/>
    <w:rsid w:val="005445CB"/>
    <w:rsid w:val="00561E50"/>
    <w:rsid w:val="0056214D"/>
    <w:rsid w:val="005621DA"/>
    <w:rsid w:val="005E5F10"/>
    <w:rsid w:val="005F6FD4"/>
    <w:rsid w:val="00611193"/>
    <w:rsid w:val="00643A43"/>
    <w:rsid w:val="0069BC87"/>
    <w:rsid w:val="006D0F28"/>
    <w:rsid w:val="006D3636"/>
    <w:rsid w:val="006D4055"/>
    <w:rsid w:val="006F76BB"/>
    <w:rsid w:val="007221F1"/>
    <w:rsid w:val="007362CB"/>
    <w:rsid w:val="00785C3E"/>
    <w:rsid w:val="0079508D"/>
    <w:rsid w:val="007A3864"/>
    <w:rsid w:val="007D5FB2"/>
    <w:rsid w:val="007F1F4C"/>
    <w:rsid w:val="0087353B"/>
    <w:rsid w:val="008C53A4"/>
    <w:rsid w:val="008D2B87"/>
    <w:rsid w:val="009332B9"/>
    <w:rsid w:val="00977426"/>
    <w:rsid w:val="009A1108"/>
    <w:rsid w:val="009C2D5E"/>
    <w:rsid w:val="00A60500"/>
    <w:rsid w:val="00A81AA7"/>
    <w:rsid w:val="00AC131D"/>
    <w:rsid w:val="00B0606C"/>
    <w:rsid w:val="00B61C58"/>
    <w:rsid w:val="00B767BF"/>
    <w:rsid w:val="00B875A7"/>
    <w:rsid w:val="00BA41F8"/>
    <w:rsid w:val="00BB2114"/>
    <w:rsid w:val="00BB6914"/>
    <w:rsid w:val="00BC4804"/>
    <w:rsid w:val="00BD54D4"/>
    <w:rsid w:val="00C155C5"/>
    <w:rsid w:val="00C400C6"/>
    <w:rsid w:val="00C53110"/>
    <w:rsid w:val="00C86BB0"/>
    <w:rsid w:val="00CC0D9C"/>
    <w:rsid w:val="00CF6E06"/>
    <w:rsid w:val="00D11284"/>
    <w:rsid w:val="00D360ED"/>
    <w:rsid w:val="00D37A01"/>
    <w:rsid w:val="00E10271"/>
    <w:rsid w:val="00E50DB6"/>
    <w:rsid w:val="00E56297"/>
    <w:rsid w:val="00EA508E"/>
    <w:rsid w:val="00EE011D"/>
    <w:rsid w:val="00FC6782"/>
    <w:rsid w:val="00FE5313"/>
    <w:rsid w:val="02058CE8"/>
    <w:rsid w:val="02B5223A"/>
    <w:rsid w:val="0326AFD7"/>
    <w:rsid w:val="036F0E49"/>
    <w:rsid w:val="03B69EC7"/>
    <w:rsid w:val="061CB5D6"/>
    <w:rsid w:val="06B91C06"/>
    <w:rsid w:val="07FB2AD9"/>
    <w:rsid w:val="081F01D5"/>
    <w:rsid w:val="082C71C6"/>
    <w:rsid w:val="08A08B22"/>
    <w:rsid w:val="0B702F13"/>
    <w:rsid w:val="0C5DE63B"/>
    <w:rsid w:val="0C6E1038"/>
    <w:rsid w:val="0F420FE7"/>
    <w:rsid w:val="0FB2F4BD"/>
    <w:rsid w:val="10518841"/>
    <w:rsid w:val="12F64B48"/>
    <w:rsid w:val="1381A57F"/>
    <w:rsid w:val="160AD44C"/>
    <w:rsid w:val="162DEC0A"/>
    <w:rsid w:val="17C9BC6B"/>
    <w:rsid w:val="18F23585"/>
    <w:rsid w:val="1ACE92DF"/>
    <w:rsid w:val="1ADE456F"/>
    <w:rsid w:val="1C839496"/>
    <w:rsid w:val="1D38EDBB"/>
    <w:rsid w:val="1D41EB11"/>
    <w:rsid w:val="1D9DB5ED"/>
    <w:rsid w:val="1E96A200"/>
    <w:rsid w:val="22F15B58"/>
    <w:rsid w:val="23A6A2A8"/>
    <w:rsid w:val="25781353"/>
    <w:rsid w:val="25EAF6AE"/>
    <w:rsid w:val="26151BEF"/>
    <w:rsid w:val="26454EA8"/>
    <w:rsid w:val="26463E91"/>
    <w:rsid w:val="269A8BC1"/>
    <w:rsid w:val="29839E1C"/>
    <w:rsid w:val="2A318DFB"/>
    <w:rsid w:val="2D9AC70A"/>
    <w:rsid w:val="2E814113"/>
    <w:rsid w:val="2FA91EA8"/>
    <w:rsid w:val="30A0AE8A"/>
    <w:rsid w:val="318EB001"/>
    <w:rsid w:val="34DCB59E"/>
    <w:rsid w:val="3647A354"/>
    <w:rsid w:val="36CD51FE"/>
    <w:rsid w:val="372880F3"/>
    <w:rsid w:val="3B37640E"/>
    <w:rsid w:val="3E696B33"/>
    <w:rsid w:val="3F566074"/>
    <w:rsid w:val="400EC4E6"/>
    <w:rsid w:val="41918DDF"/>
    <w:rsid w:val="41BE2C50"/>
    <w:rsid w:val="43570907"/>
    <w:rsid w:val="4548B801"/>
    <w:rsid w:val="4608DF82"/>
    <w:rsid w:val="483267B0"/>
    <w:rsid w:val="491F0022"/>
    <w:rsid w:val="4BACAD14"/>
    <w:rsid w:val="4C2650A7"/>
    <w:rsid w:val="4DE6F518"/>
    <w:rsid w:val="4EA1A934"/>
    <w:rsid w:val="4EB2F07E"/>
    <w:rsid w:val="4FE0F91B"/>
    <w:rsid w:val="530CE1AC"/>
    <w:rsid w:val="54CC1A66"/>
    <w:rsid w:val="55983738"/>
    <w:rsid w:val="5729C7A5"/>
    <w:rsid w:val="5B6703DF"/>
    <w:rsid w:val="5D2699F2"/>
    <w:rsid w:val="60F2A524"/>
    <w:rsid w:val="62094312"/>
    <w:rsid w:val="62A1C5EC"/>
    <w:rsid w:val="6302124D"/>
    <w:rsid w:val="63F90F45"/>
    <w:rsid w:val="6465D8B7"/>
    <w:rsid w:val="67810498"/>
    <w:rsid w:val="67B6A1D6"/>
    <w:rsid w:val="68923D78"/>
    <w:rsid w:val="68E56C81"/>
    <w:rsid w:val="6B0E3728"/>
    <w:rsid w:val="6B139C1A"/>
    <w:rsid w:val="6C30BB81"/>
    <w:rsid w:val="6C70EA9C"/>
    <w:rsid w:val="6E0CBAFD"/>
    <w:rsid w:val="6FA88B5E"/>
    <w:rsid w:val="7137D8F1"/>
    <w:rsid w:val="74B49A3D"/>
    <w:rsid w:val="77CA22BA"/>
    <w:rsid w:val="785EAAA1"/>
    <w:rsid w:val="7DA0F3C9"/>
    <w:rsid w:val="7F106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97720"/>
  <w15:chartTrackingRefBased/>
  <w15:docId w15:val="{9BDDB7DD-4521-48C7-8F0B-5BFA81BF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6297"/>
    <w:pPr>
      <w:ind w:left="720"/>
      <w:contextualSpacing/>
    </w:pPr>
  </w:style>
  <w:style w:type="table" w:styleId="TableGrid">
    <w:name w:val="Table Grid"/>
    <w:basedOn w:val="TableNormal"/>
    <w:uiPriority w:val="39"/>
    <w:rsid w:val="00B8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3B"/>
  </w:style>
  <w:style w:type="paragraph" w:styleId="Footer">
    <w:name w:val="footer"/>
    <w:basedOn w:val="Normal"/>
    <w:link w:val="FooterChar"/>
    <w:uiPriority w:val="99"/>
    <w:unhideWhenUsed/>
    <w:rsid w:val="0087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3B"/>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0500"/>
    <w:rPr>
      <w:b/>
      <w:bCs/>
    </w:rPr>
  </w:style>
  <w:style w:type="character" w:customStyle="1" w:styleId="CommentSubjectChar">
    <w:name w:val="Comment Subject Char"/>
    <w:basedOn w:val="CommentTextChar"/>
    <w:link w:val="CommentSubject"/>
    <w:uiPriority w:val="99"/>
    <w:semiHidden/>
    <w:rsid w:val="00A60500"/>
    <w:rPr>
      <w:b/>
      <w:bCs/>
      <w:sz w:val="20"/>
      <w:szCs w:val="20"/>
    </w:rPr>
  </w:style>
  <w:style w:type="paragraph" w:styleId="Revision">
    <w:name w:val="Revision"/>
    <w:hidden/>
    <w:uiPriority w:val="99"/>
    <w:semiHidden/>
    <w:rsid w:val="00B61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C5C3C09E19142BD78C86D805BA320" ma:contentTypeVersion="16" ma:contentTypeDescription="Create a new document." ma:contentTypeScope="" ma:versionID="ccdad76a4f38eeb18668bf6d8c77fb01">
  <xsd:schema xmlns:xsd="http://www.w3.org/2001/XMLSchema" xmlns:xs="http://www.w3.org/2001/XMLSchema" xmlns:p="http://schemas.microsoft.com/office/2006/metadata/properties" xmlns:ns2="62ed0c82-8565-4d22-9a12-fdb6f5f41e35" xmlns:ns3="991dcbc2-5e0d-4ff2-8abb-30ce0cf5a58a" targetNamespace="http://schemas.microsoft.com/office/2006/metadata/properties" ma:root="true" ma:fieldsID="2f0619d9459263ab84ba5d4042c9a0d5" ns2:_="" ns3:_="">
    <xsd:import namespace="62ed0c82-8565-4d22-9a12-fdb6f5f41e35"/>
    <xsd:import namespace="991dcbc2-5e0d-4ff2-8abb-30ce0cf5a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d0c82-8565-4d22-9a12-fdb6f5f41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d7e15d-8ae7-4a09-92e9-2dd39484ff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dcbc2-5e0d-4ff2-8abb-30ce0cf5a5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cfec4f-1486-41f6-a81f-3e0dc8b97f7f}" ma:internalName="TaxCatchAll" ma:showField="CatchAllData" ma:web="991dcbc2-5e0d-4ff2-8abb-30ce0cf5a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d0c82-8565-4d22-9a12-fdb6f5f41e35">
      <Terms xmlns="http://schemas.microsoft.com/office/infopath/2007/PartnerControls"/>
    </lcf76f155ced4ddcb4097134ff3c332f>
    <TaxCatchAll xmlns="991dcbc2-5e0d-4ff2-8abb-30ce0cf5a5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4269-D03E-4E21-A64B-BD3CBE9F5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d0c82-8565-4d22-9a12-fdb6f5f41e35"/>
    <ds:schemaRef ds:uri="991dcbc2-5e0d-4ff2-8abb-30ce0cf5a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A1C0F-726E-42EC-A43E-42883D6E254B}">
  <ds:schemaRefs>
    <ds:schemaRef ds:uri="http://schemas.microsoft.com/office/2006/metadata/properties"/>
    <ds:schemaRef ds:uri="http://schemas.microsoft.com/office/infopath/2007/PartnerControls"/>
    <ds:schemaRef ds:uri="62ed0c82-8565-4d22-9a12-fdb6f5f41e35"/>
    <ds:schemaRef ds:uri="991dcbc2-5e0d-4ff2-8abb-30ce0cf5a58a"/>
  </ds:schemaRefs>
</ds:datastoreItem>
</file>

<file path=customXml/itemProps3.xml><?xml version="1.0" encoding="utf-8"?>
<ds:datastoreItem xmlns:ds="http://schemas.openxmlformats.org/officeDocument/2006/customXml" ds:itemID="{C8375EC4-9FF6-425E-8679-6814E0826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5824</Characters>
  <Application>Microsoft Office Word</Application>
  <DocSecurity>2</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Glasby</dc:creator>
  <cp:keywords/>
  <dc:description/>
  <cp:lastModifiedBy>Vanessa Glasby</cp:lastModifiedBy>
  <cp:revision>59</cp:revision>
  <dcterms:created xsi:type="dcterms:W3CDTF">2022-07-07T18:53:00Z</dcterms:created>
  <dcterms:modified xsi:type="dcterms:W3CDTF">2022-11-21T20:08:00Z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0x010100D76C5C3C09E19142BD78C86D805BA320</vt:lpwstr>
  </property>
  <property fmtid="{D5CDD505-2E9C-101B-9397-08002B2CF9AE}" pid="3" name="MediaServiceImageTags">
    <vt:lpwstr/>
  </property>
</Properties>
</file>